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7A15" w14:textId="4CF18A28" w:rsidR="00735346" w:rsidRPr="003474AF" w:rsidRDefault="00A4162C" w:rsidP="00735346">
      <w:pPr>
        <w:pStyle w:val="ListParagraph"/>
        <w:numPr>
          <w:ilvl w:val="0"/>
          <w:numId w:val="0"/>
        </w:numPr>
        <w:spacing w:before="120" w:after="240" w:line="240" w:lineRule="auto"/>
        <w:ind w:left="360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bookmarkStart w:id="0" w:name="_Hlk117602325"/>
      <w:r>
        <w:rPr>
          <w:rFonts w:asciiTheme="minorHAnsi" w:eastAsia="Times New Roman" w:hAnsiTheme="minorHAnsi" w:cstheme="minorHAnsi"/>
          <w:b/>
          <w:bCs/>
          <w:sz w:val="22"/>
        </w:rPr>
        <w:t xml:space="preserve">2024. évi </w:t>
      </w:r>
      <w:r w:rsidR="00735346" w:rsidRPr="00FF1CC6">
        <w:rPr>
          <w:rFonts w:asciiTheme="minorHAnsi" w:eastAsia="Times New Roman" w:hAnsiTheme="minorHAnsi" w:cstheme="minorHAnsi"/>
          <w:b/>
          <w:bCs/>
          <w:sz w:val="22"/>
        </w:rPr>
        <w:t>ICAAP-BMA/ ILAAP kiemelt vizsgálati területek</w:t>
      </w:r>
      <w:bookmarkEnd w:id="0"/>
    </w:p>
    <w:tbl>
      <w:tblPr>
        <w:tblW w:w="9809" w:type="dxa"/>
        <w:tblBorders>
          <w:top w:val="thinThickSmallGap" w:sz="24" w:space="0" w:color="1F497D"/>
          <w:left w:val="thinThickSmallGap" w:sz="24" w:space="0" w:color="1F497D"/>
          <w:bottom w:val="thickThinSmallGap" w:sz="24" w:space="0" w:color="1F497D"/>
          <w:right w:val="thickThinSmallGap" w:sz="24" w:space="0" w:color="1F497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7586"/>
      </w:tblGrid>
      <w:tr w:rsidR="00735346" w:rsidRPr="00927AD5" w14:paraId="02807186" w14:textId="77777777" w:rsidTr="00F177CC">
        <w:trPr>
          <w:trHeight w:val="1898"/>
        </w:trPr>
        <w:tc>
          <w:tcPr>
            <w:tcW w:w="2223" w:type="dxa"/>
            <w:vAlign w:val="center"/>
          </w:tcPr>
          <w:p w14:paraId="6B9935AB" w14:textId="77777777" w:rsidR="00735346" w:rsidRPr="001B694C" w:rsidRDefault="00735346" w:rsidP="00F177CC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1760">
              <w:rPr>
                <w:rFonts w:asciiTheme="minorHAnsi" w:hAnsiTheme="minorHAnsi" w:cstheme="minorHAnsi"/>
                <w:b/>
                <w:sz w:val="22"/>
              </w:rPr>
              <w:t>ICAAP-BMA</w:t>
            </w:r>
          </w:p>
        </w:tc>
        <w:tc>
          <w:tcPr>
            <w:tcW w:w="7586" w:type="dxa"/>
            <w:vAlign w:val="center"/>
          </w:tcPr>
          <w:p w14:paraId="6FACCA3E" w14:textId="77777777" w:rsidR="00735346" w:rsidRPr="00FF1CC6" w:rsidRDefault="00735346" w:rsidP="00F177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F1CC6">
              <w:rPr>
                <w:rFonts w:asciiTheme="minorHAnsi" w:hAnsiTheme="minorHAnsi" w:cstheme="minorHAnsi"/>
                <w:sz w:val="22"/>
                <w:szCs w:val="22"/>
              </w:rPr>
              <w:t>1. A hitelezési kockázat kezelésén belül különösen:</w:t>
            </w:r>
          </w:p>
          <w:p w14:paraId="52D7A6BB" w14:textId="77777777" w:rsidR="00735346" w:rsidRPr="00FF1CC6" w:rsidRDefault="00735346" w:rsidP="00735346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hitelkockázati súlyok esetleges változásának feltárása</w:t>
            </w:r>
          </w:p>
          <w:p w14:paraId="362437AA" w14:textId="77777777" w:rsidR="00735346" w:rsidRPr="00FF1CC6" w:rsidRDefault="00735346" w:rsidP="00735346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IPRE portfólió kockázata</w:t>
            </w:r>
          </w:p>
          <w:p w14:paraId="26784588" w14:textId="77777777" w:rsidR="00735346" w:rsidRPr="00FF1CC6" w:rsidRDefault="00735346" w:rsidP="00735346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koncentrációs kockázat számszerűsítése</w:t>
            </w:r>
          </w:p>
          <w:p w14:paraId="6F1044E6" w14:textId="77777777" w:rsidR="00735346" w:rsidRPr="00FF1CC6" w:rsidRDefault="00735346" w:rsidP="00735346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TTC EL és az értékvesztés szintek összevetése</w:t>
            </w:r>
          </w:p>
          <w:p w14:paraId="5E302B3B" w14:textId="77777777" w:rsidR="00735346" w:rsidRPr="00FF1CC6" w:rsidRDefault="00735346" w:rsidP="00F177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F1CC6">
              <w:rPr>
                <w:rFonts w:asciiTheme="minorHAnsi" w:hAnsiTheme="minorHAnsi" w:cstheme="minorHAnsi"/>
                <w:sz w:val="22"/>
                <w:szCs w:val="22"/>
              </w:rPr>
              <w:t>2. A működési kockázat kezelésén belül különösen:</w:t>
            </w:r>
          </w:p>
          <w:p w14:paraId="78F7640D" w14:textId="77777777" w:rsidR="00735346" w:rsidRPr="00FF1CC6" w:rsidRDefault="00735346" w:rsidP="00735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új sztenderd módszertan szerinti tőkeszükséglet becslése</w:t>
            </w:r>
          </w:p>
          <w:p w14:paraId="45C63CF6" w14:textId="77777777" w:rsidR="00735346" w:rsidRPr="00FF1CC6" w:rsidRDefault="00735346" w:rsidP="007353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működési kockázati keretrendszer vizsgálata különös tekintettel a veszteségadatok gyűjtésének teljeskörűségére vonatkozóan</w:t>
            </w:r>
          </w:p>
          <w:p w14:paraId="611D751E" w14:textId="77777777" w:rsidR="00735346" w:rsidRPr="00FF1CC6" w:rsidRDefault="00735346" w:rsidP="00F177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F1CC6">
              <w:rPr>
                <w:rFonts w:asciiTheme="minorHAnsi" w:hAnsiTheme="minorHAnsi" w:cstheme="minorHAnsi"/>
                <w:sz w:val="22"/>
                <w:szCs w:val="22"/>
              </w:rPr>
              <w:t>3. Piaci kockázat kezelésén belül különösen:</w:t>
            </w:r>
          </w:p>
          <w:p w14:paraId="4222F23D" w14:textId="77777777" w:rsidR="00735346" w:rsidRPr="00FF1CC6" w:rsidRDefault="00735346" w:rsidP="00735346">
            <w:pPr>
              <w:pStyle w:val="ListParagraph"/>
              <w:numPr>
                <w:ilvl w:val="0"/>
                <w:numId w:val="21"/>
              </w:numPr>
              <w:spacing w:after="0"/>
              <w:contextualSpacing w:val="0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deviza hozamgörbék mozgása közti korreláció becslése és ennek figyelembe vétele a tőkeszükséglet meghatározásánál</w:t>
            </w:r>
          </w:p>
          <w:p w14:paraId="51B3EF0B" w14:textId="77777777" w:rsidR="00735346" w:rsidRDefault="00735346" w:rsidP="00735346">
            <w:pPr>
              <w:pStyle w:val="ListParagraph"/>
              <w:numPr>
                <w:ilvl w:val="0"/>
                <w:numId w:val="21"/>
              </w:numPr>
              <w:spacing w:after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adatminőség vizsgálata</w:t>
            </w:r>
          </w:p>
          <w:p w14:paraId="7EE64D83" w14:textId="77777777" w:rsidR="00735346" w:rsidRDefault="00735346" w:rsidP="00735346">
            <w:pPr>
              <w:pStyle w:val="ListParagraph"/>
              <w:numPr>
                <w:ilvl w:val="0"/>
                <w:numId w:val="21"/>
              </w:numPr>
              <w:spacing w:after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báziskockázat ellenőrzése.</w:t>
            </w:r>
          </w:p>
          <w:p w14:paraId="64389698" w14:textId="77777777" w:rsidR="00735346" w:rsidRPr="00FF1CC6" w:rsidRDefault="00735346" w:rsidP="00F177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F1CC6">
              <w:rPr>
                <w:rFonts w:asciiTheme="minorHAnsi" w:hAnsiTheme="minorHAnsi" w:cstheme="minorHAnsi"/>
                <w:sz w:val="22"/>
                <w:szCs w:val="22"/>
              </w:rPr>
              <w:t>4. Felügyeleti stressz tesztek végrehajtása és ennek eredményeként P2G Capital Guidance meghatározása.</w:t>
            </w:r>
          </w:p>
          <w:p w14:paraId="69F636BC" w14:textId="77777777" w:rsidR="00735346" w:rsidRPr="00FF1CC6" w:rsidRDefault="00735346" w:rsidP="00735346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1CC6">
              <w:rPr>
                <w:rFonts w:asciiTheme="minorHAnsi" w:hAnsiTheme="minorHAnsi" w:cstheme="minorHAnsi"/>
                <w:sz w:val="22"/>
                <w:szCs w:val="22"/>
              </w:rPr>
              <w:t>kiemelt figyelem az egyedi tételek teljeskörű beépítésére</w:t>
            </w:r>
          </w:p>
          <w:p w14:paraId="259EAB42" w14:textId="77777777" w:rsidR="00735346" w:rsidRPr="00FF1CC6" w:rsidRDefault="00735346" w:rsidP="00735346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1CC6">
              <w:rPr>
                <w:rFonts w:asciiTheme="minorHAnsi" w:hAnsiTheme="minorHAnsi" w:cstheme="minorHAnsi"/>
                <w:sz w:val="22"/>
                <w:szCs w:val="22"/>
              </w:rPr>
              <w:t>a P2G mellett a P2G-LR (a túlzott tőkeáttétel kockázatára vonatkozó 2. pillér szerinti iránymutatás) számítása.</w:t>
            </w:r>
          </w:p>
          <w:p w14:paraId="531CB81A" w14:textId="77777777" w:rsidR="00735346" w:rsidRPr="00FF1CC6" w:rsidRDefault="00735346" w:rsidP="00F177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F1CC6">
              <w:rPr>
                <w:rFonts w:asciiTheme="minorHAnsi" w:hAnsiTheme="minorHAnsi" w:cstheme="minorHAnsi"/>
                <w:sz w:val="22"/>
                <w:szCs w:val="22"/>
              </w:rPr>
              <w:t>5. Saját banki stressztesztek módszertana és megfelelés az EBA guideline előírásainak.</w:t>
            </w:r>
          </w:p>
          <w:p w14:paraId="0FCF8EF8" w14:textId="77777777" w:rsidR="00735346" w:rsidRPr="00FF1CC6" w:rsidRDefault="00735346" w:rsidP="00F177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F1CC6">
              <w:rPr>
                <w:rFonts w:asciiTheme="minorHAnsi" w:hAnsiTheme="minorHAnsi" w:cstheme="minorHAnsi"/>
                <w:sz w:val="22"/>
                <w:szCs w:val="22"/>
              </w:rPr>
              <w:t>6. Stratégia és üzleti modellek vizsgálatán belül különösen:</w:t>
            </w:r>
          </w:p>
          <w:p w14:paraId="28AC8B8C" w14:textId="77777777" w:rsidR="00735346" w:rsidRPr="00FF1CC6" w:rsidRDefault="00735346" w:rsidP="00735346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1CC6">
              <w:rPr>
                <w:rFonts w:asciiTheme="minorHAnsi" w:hAnsiTheme="minorHAnsi" w:cstheme="minorHAnsi"/>
                <w:sz w:val="22"/>
                <w:szCs w:val="22"/>
              </w:rPr>
              <w:t>a jövedelemtermelő képességre ható főbb tényezők, valamint</w:t>
            </w:r>
          </w:p>
          <w:p w14:paraId="7E725053" w14:textId="77777777" w:rsidR="00735346" w:rsidRPr="006F1760" w:rsidRDefault="00735346" w:rsidP="00735346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1CC6">
              <w:rPr>
                <w:rFonts w:asciiTheme="minorHAnsi" w:hAnsiTheme="minorHAnsi" w:cstheme="minorHAnsi"/>
                <w:sz w:val="22"/>
                <w:szCs w:val="22"/>
              </w:rPr>
              <w:t>tőke alakulására ható tényezők feltérképezése.</w:t>
            </w:r>
          </w:p>
        </w:tc>
      </w:tr>
      <w:tr w:rsidR="00735346" w:rsidRPr="00927AD5" w14:paraId="6C51261F" w14:textId="77777777" w:rsidTr="00F177CC">
        <w:trPr>
          <w:trHeight w:val="380"/>
        </w:trPr>
        <w:tc>
          <w:tcPr>
            <w:tcW w:w="2223" w:type="dxa"/>
            <w:vAlign w:val="center"/>
          </w:tcPr>
          <w:p w14:paraId="148FCE6A" w14:textId="77777777" w:rsidR="00735346" w:rsidRPr="006F1760" w:rsidRDefault="00735346" w:rsidP="00F177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F1CC6">
              <w:rPr>
                <w:rFonts w:asciiTheme="minorHAnsi" w:hAnsiTheme="minorHAnsi" w:cstheme="minorHAnsi"/>
                <w:b/>
                <w:sz w:val="22"/>
              </w:rPr>
              <w:t>ILAAP</w:t>
            </w:r>
          </w:p>
        </w:tc>
        <w:tc>
          <w:tcPr>
            <w:tcW w:w="7586" w:type="dxa"/>
            <w:vAlign w:val="center"/>
          </w:tcPr>
          <w:p w14:paraId="6BEE7CD8" w14:textId="77777777" w:rsidR="00735346" w:rsidRPr="00FF1CC6" w:rsidRDefault="00735346" w:rsidP="00735346">
            <w:pPr>
              <w:pStyle w:val="ListParagraph"/>
              <w:numPr>
                <w:ilvl w:val="0"/>
                <w:numId w:val="24"/>
              </w:numPr>
              <w:spacing w:before="120" w:after="240" w:line="240" w:lineRule="auto"/>
              <w:rPr>
                <w:rFonts w:asciiTheme="minorHAnsi" w:hAnsiTheme="minorHAnsi" w:cstheme="minorHAnsi"/>
                <w:sz w:val="22"/>
              </w:rPr>
            </w:pPr>
            <w:r w:rsidRPr="00FF1CC6">
              <w:rPr>
                <w:rFonts w:asciiTheme="minorHAnsi" w:hAnsiTheme="minorHAnsi" w:cstheme="minorHAnsi"/>
                <w:sz w:val="22"/>
              </w:rPr>
              <w:t>Monetáris eszköztár használata, jövőbeli stratégiája</w:t>
            </w:r>
          </w:p>
          <w:p w14:paraId="37384E20" w14:textId="77777777" w:rsidR="00735346" w:rsidRPr="00FF1CC6" w:rsidRDefault="00735346" w:rsidP="00735346">
            <w:pPr>
              <w:pStyle w:val="ListParagraph"/>
              <w:numPr>
                <w:ilvl w:val="0"/>
                <w:numId w:val="24"/>
              </w:numPr>
              <w:spacing w:before="120" w:after="240" w:line="240" w:lineRule="auto"/>
              <w:rPr>
                <w:rFonts w:asciiTheme="minorHAnsi" w:hAnsiTheme="minorHAnsi" w:cstheme="minorHAnsi"/>
                <w:sz w:val="22"/>
              </w:rPr>
            </w:pPr>
            <w:r w:rsidRPr="00FF1CC6">
              <w:rPr>
                <w:rFonts w:asciiTheme="minorHAnsi" w:hAnsiTheme="minorHAnsi" w:cstheme="minorHAnsi"/>
                <w:sz w:val="22"/>
              </w:rPr>
              <w:t xml:space="preserve">Likvid eszközök rendelkezésre állása az 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FF1CC6">
              <w:rPr>
                <w:rFonts w:asciiTheme="minorHAnsi" w:hAnsiTheme="minorHAnsi" w:cstheme="minorHAnsi"/>
                <w:sz w:val="22"/>
              </w:rPr>
              <w:t xml:space="preserve">zonnali </w:t>
            </w:r>
            <w:r>
              <w:rPr>
                <w:rFonts w:asciiTheme="minorHAnsi" w:hAnsiTheme="minorHAnsi" w:cstheme="minorHAnsi"/>
                <w:sz w:val="22"/>
              </w:rPr>
              <w:t>F</w:t>
            </w:r>
            <w:r w:rsidRPr="00FF1CC6">
              <w:rPr>
                <w:rFonts w:asciiTheme="minorHAnsi" w:hAnsiTheme="minorHAnsi" w:cstheme="minorHAnsi"/>
                <w:sz w:val="22"/>
              </w:rPr>
              <w:t xml:space="preserve">izetési </w:t>
            </w:r>
            <w:r>
              <w:rPr>
                <w:rFonts w:asciiTheme="minorHAnsi" w:hAnsiTheme="minorHAnsi" w:cstheme="minorHAnsi"/>
                <w:sz w:val="22"/>
              </w:rPr>
              <w:t>R</w:t>
            </w:r>
            <w:r w:rsidRPr="00FF1CC6">
              <w:rPr>
                <w:rFonts w:asciiTheme="minorHAnsi" w:hAnsiTheme="minorHAnsi" w:cstheme="minorHAnsi"/>
                <w:sz w:val="22"/>
              </w:rPr>
              <w:t>endszer zavartalan működése érdekében</w:t>
            </w:r>
          </w:p>
          <w:p w14:paraId="0619EB95" w14:textId="77777777" w:rsidR="00735346" w:rsidRPr="003B31A6" w:rsidRDefault="00735346" w:rsidP="00735346">
            <w:pPr>
              <w:pStyle w:val="ListParagraph"/>
              <w:numPr>
                <w:ilvl w:val="0"/>
                <w:numId w:val="24"/>
              </w:numPr>
              <w:spacing w:before="120" w:after="240" w:line="240" w:lineRule="auto"/>
              <w:rPr>
                <w:rFonts w:asciiTheme="minorHAnsi" w:hAnsiTheme="minorHAnsi" w:cstheme="minorHAnsi"/>
                <w:sz w:val="22"/>
              </w:rPr>
            </w:pPr>
            <w:r w:rsidRPr="003B31A6">
              <w:rPr>
                <w:rFonts w:asciiTheme="minorHAnsi" w:hAnsiTheme="minorHAnsi" w:cstheme="minorHAnsi"/>
                <w:sz w:val="22"/>
              </w:rPr>
              <w:t>Likviditási szabályozói mutatóknak való megfelelés hosszú távú biztosításának ellenőrzése</w:t>
            </w:r>
          </w:p>
          <w:p w14:paraId="2B6F7152" w14:textId="77777777" w:rsidR="00735346" w:rsidRPr="003B31A6" w:rsidRDefault="00735346" w:rsidP="00735346">
            <w:pPr>
              <w:pStyle w:val="ListParagraph"/>
              <w:numPr>
                <w:ilvl w:val="0"/>
                <w:numId w:val="24"/>
              </w:numPr>
              <w:spacing w:before="120" w:after="240" w:line="240" w:lineRule="auto"/>
              <w:rPr>
                <w:rFonts w:asciiTheme="minorHAnsi" w:hAnsiTheme="minorHAnsi" w:cstheme="minorHAnsi"/>
                <w:sz w:val="22"/>
              </w:rPr>
            </w:pPr>
            <w:r w:rsidRPr="003B31A6">
              <w:rPr>
                <w:rFonts w:asciiTheme="minorHAnsi" w:hAnsiTheme="minorHAnsi" w:cstheme="minorHAnsi"/>
                <w:sz w:val="22"/>
              </w:rPr>
              <w:t>Finanszírozási struktúra fenntarthatóságának vizsgálata</w:t>
            </w:r>
          </w:p>
          <w:p w14:paraId="6D5B277C" w14:textId="77777777" w:rsidR="00735346" w:rsidRPr="003B31A6" w:rsidRDefault="00735346" w:rsidP="00735346">
            <w:pPr>
              <w:pStyle w:val="ListParagraph"/>
              <w:numPr>
                <w:ilvl w:val="0"/>
                <w:numId w:val="24"/>
              </w:numPr>
              <w:spacing w:before="120" w:after="240" w:line="240" w:lineRule="auto"/>
              <w:rPr>
                <w:rFonts w:asciiTheme="minorHAnsi" w:hAnsiTheme="minorHAnsi" w:cstheme="minorHAnsi"/>
                <w:sz w:val="22"/>
              </w:rPr>
            </w:pPr>
            <w:r w:rsidRPr="003B31A6">
              <w:rPr>
                <w:rFonts w:asciiTheme="minorHAnsi" w:hAnsiTheme="minorHAnsi" w:cstheme="minorHAnsi"/>
                <w:sz w:val="22"/>
              </w:rPr>
              <w:t>Likviditási adatszolgáltatások minőségének szúrópróbaszerű ellenőrzése</w:t>
            </w:r>
          </w:p>
          <w:p w14:paraId="5D06B1F0" w14:textId="77777777" w:rsidR="00735346" w:rsidRPr="003B31A6" w:rsidRDefault="00735346" w:rsidP="00735346">
            <w:pPr>
              <w:pStyle w:val="ListParagraph"/>
              <w:numPr>
                <w:ilvl w:val="0"/>
                <w:numId w:val="24"/>
              </w:numPr>
              <w:spacing w:before="120" w:after="240" w:line="240" w:lineRule="auto"/>
              <w:rPr>
                <w:rFonts w:asciiTheme="minorHAnsi" w:hAnsiTheme="minorHAnsi" w:cstheme="minorHAnsi"/>
                <w:sz w:val="22"/>
              </w:rPr>
            </w:pPr>
            <w:r w:rsidRPr="003B31A6">
              <w:rPr>
                <w:rFonts w:asciiTheme="minorHAnsi" w:hAnsiTheme="minorHAnsi" w:cstheme="minorHAnsi"/>
                <w:sz w:val="22"/>
              </w:rPr>
              <w:t>Betétklasszifikáció helyességének ellenőrzése</w:t>
            </w:r>
          </w:p>
          <w:p w14:paraId="64E5219F" w14:textId="77777777" w:rsidR="00735346" w:rsidRPr="003B31A6" w:rsidRDefault="00735346" w:rsidP="00735346">
            <w:pPr>
              <w:pStyle w:val="ListParagraph"/>
              <w:numPr>
                <w:ilvl w:val="0"/>
                <w:numId w:val="24"/>
              </w:numPr>
              <w:spacing w:before="120" w:after="240" w:line="240" w:lineRule="auto"/>
              <w:rPr>
                <w:rFonts w:asciiTheme="minorHAnsi" w:hAnsiTheme="minorHAnsi" w:cstheme="minorHAnsi"/>
                <w:sz w:val="22"/>
              </w:rPr>
            </w:pPr>
            <w:r w:rsidRPr="003B31A6">
              <w:rPr>
                <w:rFonts w:asciiTheme="minorHAnsi" w:hAnsiTheme="minorHAnsi" w:cstheme="minorHAnsi"/>
                <w:sz w:val="22"/>
              </w:rPr>
              <w:t>Felügyeleti Likviditási Stressz Teszt kalibrálása</w:t>
            </w:r>
          </w:p>
          <w:p w14:paraId="4547BE02" w14:textId="77777777" w:rsidR="00735346" w:rsidRPr="006F1760" w:rsidRDefault="00735346" w:rsidP="00735346">
            <w:pPr>
              <w:pStyle w:val="ListParagraph"/>
              <w:numPr>
                <w:ilvl w:val="0"/>
                <w:numId w:val="24"/>
              </w:numPr>
              <w:spacing w:before="120" w:after="240" w:line="240" w:lineRule="auto"/>
              <w:rPr>
                <w:rFonts w:asciiTheme="minorHAnsi" w:hAnsiTheme="minorHAnsi" w:cstheme="minorHAnsi"/>
                <w:sz w:val="22"/>
              </w:rPr>
            </w:pPr>
            <w:r w:rsidRPr="003B31A6">
              <w:rPr>
                <w:rFonts w:asciiTheme="minorHAnsi" w:hAnsiTheme="minorHAnsi" w:cstheme="minorHAnsi"/>
                <w:sz w:val="22"/>
              </w:rPr>
              <w:t>Felügyeleti</w:t>
            </w:r>
            <w:r w:rsidRPr="00FF1CC6">
              <w:rPr>
                <w:rFonts w:asciiTheme="minorHAnsi" w:hAnsiTheme="minorHAnsi" w:cstheme="minorHAnsi"/>
                <w:sz w:val="22"/>
              </w:rPr>
              <w:t xml:space="preserve"> elvárásoknak (pl. vezetői körlevél, ICAAP-ILAAP-BMA kézikönyv) való megfelelés vizsgálata.</w:t>
            </w:r>
          </w:p>
        </w:tc>
      </w:tr>
    </w:tbl>
    <w:p w14:paraId="5DDB7E1F" w14:textId="77777777" w:rsidR="00B944EB" w:rsidRPr="00B944EB" w:rsidRDefault="00B944EB" w:rsidP="00B944EB"/>
    <w:sectPr w:rsidR="00B944EB" w:rsidRPr="00B944EB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E415" w14:textId="77777777" w:rsidR="00976F00" w:rsidRDefault="00976F00">
      <w:r>
        <w:separator/>
      </w:r>
    </w:p>
  </w:endnote>
  <w:endnote w:type="continuationSeparator" w:id="0">
    <w:p w14:paraId="040487ED" w14:textId="77777777" w:rsidR="00976F00" w:rsidRDefault="0097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177D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507E" w14:textId="77777777" w:rsidR="00976F00" w:rsidRDefault="00976F00">
      <w:r>
        <w:separator/>
      </w:r>
    </w:p>
  </w:footnote>
  <w:footnote w:type="continuationSeparator" w:id="0">
    <w:p w14:paraId="4DB0BC6F" w14:textId="77777777" w:rsidR="00976F00" w:rsidRDefault="0097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5B94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55930"/>
    <w:multiLevelType w:val="hybridMultilevel"/>
    <w:tmpl w:val="7F16D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CF91917"/>
    <w:multiLevelType w:val="hybridMultilevel"/>
    <w:tmpl w:val="55F4D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973EB"/>
    <w:multiLevelType w:val="hybridMultilevel"/>
    <w:tmpl w:val="A86A5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00064"/>
    <w:multiLevelType w:val="hybridMultilevel"/>
    <w:tmpl w:val="4BC888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23E5"/>
    <w:multiLevelType w:val="hybridMultilevel"/>
    <w:tmpl w:val="A73A0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135D9"/>
    <w:multiLevelType w:val="hybridMultilevel"/>
    <w:tmpl w:val="FA4869E8"/>
    <w:lvl w:ilvl="0" w:tplc="CDD60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92158">
    <w:abstractNumId w:val="5"/>
  </w:num>
  <w:num w:numId="2" w16cid:durableId="892038716">
    <w:abstractNumId w:val="3"/>
  </w:num>
  <w:num w:numId="3" w16cid:durableId="247158196">
    <w:abstractNumId w:val="6"/>
  </w:num>
  <w:num w:numId="4" w16cid:durableId="1817915629">
    <w:abstractNumId w:val="0"/>
  </w:num>
  <w:num w:numId="5" w16cid:durableId="478033091">
    <w:abstractNumId w:val="1"/>
  </w:num>
  <w:num w:numId="6" w16cid:durableId="1556508021">
    <w:abstractNumId w:val="10"/>
  </w:num>
  <w:num w:numId="7" w16cid:durableId="101845491">
    <w:abstractNumId w:val="4"/>
  </w:num>
  <w:num w:numId="8" w16cid:durableId="1452091936">
    <w:abstractNumId w:val="15"/>
  </w:num>
  <w:num w:numId="9" w16cid:durableId="188566614">
    <w:abstractNumId w:val="10"/>
    <w:lvlOverride w:ilvl="0">
      <w:startOverride w:val="1"/>
    </w:lvlOverride>
  </w:num>
  <w:num w:numId="10" w16cid:durableId="1080830053">
    <w:abstractNumId w:val="16"/>
  </w:num>
  <w:num w:numId="11" w16cid:durableId="1781603707">
    <w:abstractNumId w:val="11"/>
  </w:num>
  <w:num w:numId="12" w16cid:durableId="407578327">
    <w:abstractNumId w:val="8"/>
  </w:num>
  <w:num w:numId="13" w16cid:durableId="1631595170">
    <w:abstractNumId w:val="6"/>
  </w:num>
  <w:num w:numId="14" w16cid:durableId="1504204080">
    <w:abstractNumId w:val="6"/>
  </w:num>
  <w:num w:numId="15" w16cid:durableId="1755736835">
    <w:abstractNumId w:val="6"/>
  </w:num>
  <w:num w:numId="16" w16cid:durableId="63190137">
    <w:abstractNumId w:val="6"/>
  </w:num>
  <w:num w:numId="17" w16cid:durableId="1217934904">
    <w:abstractNumId w:val="6"/>
  </w:num>
  <w:num w:numId="18" w16cid:durableId="291254457">
    <w:abstractNumId w:val="6"/>
  </w:num>
  <w:num w:numId="19" w16cid:durableId="2013491167">
    <w:abstractNumId w:val="2"/>
  </w:num>
  <w:num w:numId="20" w16cid:durableId="171843356">
    <w:abstractNumId w:val="12"/>
  </w:num>
  <w:num w:numId="21" w16cid:durableId="769742888">
    <w:abstractNumId w:val="7"/>
  </w:num>
  <w:num w:numId="22" w16cid:durableId="1250771588">
    <w:abstractNumId w:val="9"/>
  </w:num>
  <w:num w:numId="23" w16cid:durableId="340550375">
    <w:abstractNumId w:val="13"/>
  </w:num>
  <w:num w:numId="24" w16cid:durableId="8631876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0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5346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6F00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162C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ADA16"/>
  <w15:chartTrackingRefBased/>
  <w15:docId w15:val="{7D7F2717-AC97-4BA3-9C3C-AEF950C6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2C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A4162C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A4162C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A4162C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A4162C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A4162C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4162C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62C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62C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62C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A4162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162C"/>
  </w:style>
  <w:style w:type="table" w:customStyle="1" w:styleId="tblzat-mtrix">
    <w:name w:val="táblázat - mátrix"/>
    <w:basedOn w:val="TableNormal"/>
    <w:uiPriority w:val="2"/>
    <w:qFormat/>
    <w:rsid w:val="00A4162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A4162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aliases w:val="Paragraphe EI,Paragraphe de liste1,EC,Paragraphe de liste,lista_2,Welt L Char,Welt L,Bullet List,FooterText,numbered,Bulletr List Paragraph,列出段落,列出段落1,Listeafsnit1,Parágrafo da Lista1,List Paragraph21,リスト段落1,Párrafo de lista1,Dot pt"/>
    <w:basedOn w:val="Normal"/>
    <w:link w:val="ListParagraphChar"/>
    <w:uiPriority w:val="4"/>
    <w:qFormat/>
    <w:rsid w:val="00A4162C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A4162C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A4162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A416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2C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A4162C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1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62C"/>
  </w:style>
  <w:style w:type="paragraph" w:styleId="Footer">
    <w:name w:val="footer"/>
    <w:basedOn w:val="Normal"/>
    <w:link w:val="FooterChar"/>
    <w:uiPriority w:val="99"/>
    <w:semiHidden/>
    <w:unhideWhenUsed/>
    <w:rsid w:val="00A41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62C"/>
  </w:style>
  <w:style w:type="paragraph" w:customStyle="1" w:styleId="Szmozs">
    <w:name w:val="Számozás"/>
    <w:basedOn w:val="Normal"/>
    <w:uiPriority w:val="4"/>
    <w:qFormat/>
    <w:rsid w:val="00A4162C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A4162C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A4162C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A4162C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A4162C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A4162C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A4162C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A4162C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A4162C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A4162C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62C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62C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62C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A4162C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A4162C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A4162C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A4162C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A4162C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A4162C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162C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A4162C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A4162C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4162C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162C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162C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A4162C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A4162C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A4162C"/>
  </w:style>
  <w:style w:type="character" w:customStyle="1" w:styleId="ListParagraphChar">
    <w:name w:val="List Paragraph Char"/>
    <w:aliases w:val="Paragraphe EI Char,Paragraphe de liste1 Char,EC Char,Paragraphe de liste Char,lista_2 Char,Welt L Char Char,Welt L Char1,Bullet List Char,FooterText Char,numbered Char,Bulletr List Paragraph Char,列出段落 Char,列出段落1 Char,リスト段落1 Char"/>
    <w:basedOn w:val="DefaultParagraphFont"/>
    <w:link w:val="ListParagraph"/>
    <w:uiPriority w:val="4"/>
    <w:rsid w:val="00A4162C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A4162C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A4162C"/>
  </w:style>
  <w:style w:type="character" w:styleId="SubtleReference">
    <w:name w:val="Subtle Reference"/>
    <w:basedOn w:val="DefaultParagraphFont"/>
    <w:uiPriority w:val="31"/>
    <w:rsid w:val="00A416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4162C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A4162C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A4162C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A4162C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A4162C"/>
  </w:style>
  <w:style w:type="paragraph" w:styleId="Subtitle">
    <w:name w:val="Subtitle"/>
    <w:basedOn w:val="Normal"/>
    <w:next w:val="Normal"/>
    <w:link w:val="SubtitleChar"/>
    <w:uiPriority w:val="11"/>
    <w:rsid w:val="00A4162C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4162C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A4162C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A4162C"/>
  </w:style>
  <w:style w:type="paragraph" w:customStyle="1" w:styleId="Erskiemels1">
    <w:name w:val="Erős kiemelés1"/>
    <w:basedOn w:val="Normal"/>
    <w:uiPriority w:val="5"/>
    <w:qFormat/>
    <w:rsid w:val="00735346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A4162C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A4162C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A4162C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A4162C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4162C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A4162C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A4162C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A4162C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A4162C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A4162C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A4162C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A4162C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A4162C"/>
  </w:style>
  <w:style w:type="character" w:styleId="Strong">
    <w:name w:val="Strong"/>
    <w:basedOn w:val="DefaultParagraphFont"/>
    <w:uiPriority w:val="22"/>
    <w:rsid w:val="00A4162C"/>
    <w:rPr>
      <w:b/>
      <w:bCs/>
    </w:rPr>
  </w:style>
  <w:style w:type="character" w:styleId="Emphasis">
    <w:name w:val="Emphasis"/>
    <w:basedOn w:val="DefaultParagraphFont"/>
    <w:uiPriority w:val="6"/>
    <w:qFormat/>
    <w:rsid w:val="00A4162C"/>
    <w:rPr>
      <w:i/>
      <w:iCs/>
    </w:rPr>
  </w:style>
  <w:style w:type="paragraph" w:styleId="NoSpacing">
    <w:name w:val="No Spacing"/>
    <w:basedOn w:val="Normal"/>
    <w:uiPriority w:val="1"/>
    <w:rsid w:val="00A4162C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A416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4162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A4162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162C"/>
    <w:rPr>
      <w:b/>
      <w:i/>
    </w:rPr>
  </w:style>
  <w:style w:type="character" w:styleId="IntenseEmphasis">
    <w:name w:val="Intense Emphasis"/>
    <w:basedOn w:val="DefaultParagraphFont"/>
    <w:uiPriority w:val="21"/>
    <w:rsid w:val="00A4162C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A4162C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4162C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A4162C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A4162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A4162C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A4162C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A4162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A4162C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A4162C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A4162C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A4162C"/>
  </w:style>
  <w:style w:type="paragraph" w:customStyle="1" w:styleId="ENNormalBox">
    <w:name w:val="EN_Normal_Box"/>
    <w:basedOn w:val="Normal"/>
    <w:uiPriority w:val="1"/>
    <w:qFormat/>
    <w:rsid w:val="00A4162C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A4162C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A4162C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A4162C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A4162C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A4162C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A4162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A4162C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A4162C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A4162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A4162C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A4162C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A4162C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A4162C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A4162C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A4162C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A4162C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A4162C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A4162C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A4162C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A4162C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A4162C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A4162C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A4162C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A4162C"/>
    <w:rPr>
      <w:b w:val="0"/>
      <w:caps w:val="0"/>
      <w:sz w:val="52"/>
    </w:rPr>
  </w:style>
  <w:style w:type="paragraph" w:customStyle="1" w:styleId="Default">
    <w:name w:val="Default"/>
    <w:rsid w:val="007353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Erskiemels">
    <w:name w:val="Erős kiemelés"/>
    <w:basedOn w:val="Normal"/>
    <w:link w:val="ErskiemelsChar"/>
    <w:uiPriority w:val="5"/>
    <w:qFormat/>
    <w:rsid w:val="00A4162C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Jászai Dániel</dc:creator>
  <cp:keywords/>
  <dc:description/>
  <cp:lastModifiedBy>Kovács Attila dr.</cp:lastModifiedBy>
  <cp:revision>3</cp:revision>
  <cp:lastPrinted>1900-12-31T23:00:00Z</cp:lastPrinted>
  <dcterms:created xsi:type="dcterms:W3CDTF">2023-11-14T10:05:00Z</dcterms:created>
  <dcterms:modified xsi:type="dcterms:W3CDTF">2023-11-14T10:22:00Z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2028-11-14T10:05:12Z</vt:filetime>
  </property>
  <property fmtid="{D5CDD505-2E9C-101B-9397-08002B2CF9AE}" pid="3" name="Érvényességet beállító">
    <vt:lpwstr>jaszaid</vt:lpwstr>
  </property>
  <property fmtid="{D5CDD505-2E9C-101B-9397-08002B2CF9AE}" pid="4" name="Érvényességi idő első beállítása">
    <vt:filetime>2023-11-14T10:05:12Z</vt:filetime>
  </property>
</Properties>
</file>