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CC26" w14:textId="68210DB0" w:rsidR="00EE798C" w:rsidRDefault="00E01449" w:rsidP="00E01449">
      <w:pPr>
        <w:pStyle w:val="doc-ti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</w:t>
      </w:r>
      <w:r w:rsidR="00EE798C" w:rsidRPr="00E01449">
        <w:rPr>
          <w:rFonts w:asciiTheme="minorHAnsi" w:hAnsiTheme="minorHAnsi" w:cstheme="minorHAnsi"/>
          <w:b/>
          <w:bCs/>
        </w:rPr>
        <w:t xml:space="preserve"> Magyar Nemzeti Bankról szóló 2013. évi CXXXIX. törvény 43. § (2) bekezdés u) pontja szerinti közzététel</w:t>
      </w:r>
    </w:p>
    <w:p w14:paraId="57170788" w14:textId="442D9C24" w:rsidR="00284C97" w:rsidRPr="00284C97" w:rsidRDefault="00284C97" w:rsidP="00E01449">
      <w:pPr>
        <w:pStyle w:val="doc-ti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</w:rPr>
        <w:t>(</w:t>
      </w:r>
      <w:proofErr w:type="spellStart"/>
      <w:r>
        <w:rPr>
          <w:rFonts w:asciiTheme="minorHAnsi" w:hAnsiTheme="minorHAnsi" w:cstheme="minorHAnsi"/>
          <w:i/>
          <w:iCs/>
        </w:rPr>
        <w:t>IORP</w:t>
      </w:r>
      <w:proofErr w:type="spellEnd"/>
      <w:r>
        <w:rPr>
          <w:rFonts w:asciiTheme="minorHAnsi" w:hAnsiTheme="minorHAnsi" w:cstheme="minorHAnsi"/>
          <w:i/>
          <w:iCs/>
        </w:rPr>
        <w:t xml:space="preserve"> II </w:t>
      </w:r>
      <w:r w:rsidR="00887CD5">
        <w:rPr>
          <w:rFonts w:asciiTheme="minorHAnsi" w:hAnsiTheme="minorHAnsi" w:cstheme="minorHAnsi"/>
          <w:i/>
          <w:iCs/>
        </w:rPr>
        <w:t xml:space="preserve">irányelv </w:t>
      </w:r>
      <w:r>
        <w:rPr>
          <w:rFonts w:asciiTheme="minorHAnsi" w:hAnsiTheme="minorHAnsi" w:cstheme="minorHAnsi"/>
          <w:i/>
          <w:iCs/>
        </w:rPr>
        <w:t>51</w:t>
      </w:r>
      <w:r w:rsidR="00887CD5">
        <w:rPr>
          <w:rFonts w:asciiTheme="minorHAnsi" w:hAnsiTheme="minorHAnsi" w:cstheme="minorHAnsi"/>
          <w:i/>
          <w:iCs/>
        </w:rPr>
        <w:t>. cikk (2) bekezdés átültetése</w:t>
      </w:r>
      <w:r>
        <w:rPr>
          <w:rFonts w:asciiTheme="minorHAnsi" w:hAnsiTheme="minorHAnsi" w:cstheme="minorHAnsi"/>
          <w:i/>
          <w:iCs/>
        </w:rPr>
        <w:t>)</w:t>
      </w:r>
    </w:p>
    <w:p w14:paraId="5BB0854C" w14:textId="4DCCCE59" w:rsidR="00EE798C" w:rsidRPr="00EE798C" w:rsidRDefault="00EE798C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14:paraId="40BB1CA3" w14:textId="06512D22" w:rsidR="00EE798C" w:rsidRPr="00EE798C" w:rsidRDefault="00EE798C" w:rsidP="00D5302F">
      <w:pPr>
        <w:pStyle w:val="doc-ti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E798C">
        <w:rPr>
          <w:rFonts w:asciiTheme="minorHAnsi" w:hAnsiTheme="minorHAnsi" w:cstheme="minorHAnsi"/>
          <w:b/>
          <w:bCs/>
          <w:sz w:val="22"/>
          <w:szCs w:val="22"/>
          <w:u w:val="single"/>
        </w:rPr>
        <w:t>A foglalkoztatói nyugdíjszolgáltató intézményekkel kapcsolatos prudenciális felügyelet fő céljaira vonatkozó tájékoztatás</w:t>
      </w:r>
    </w:p>
    <w:p w14:paraId="733D21AD" w14:textId="068BB7BC" w:rsidR="00EE798C" w:rsidRDefault="00EE798C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9146590" w14:textId="4E9CCEAA" w:rsidR="00695C3B" w:rsidRPr="00695C3B" w:rsidRDefault="00695C3B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5C3B">
        <w:rPr>
          <w:rFonts w:asciiTheme="minorHAnsi" w:hAnsiTheme="minorHAnsi" w:cstheme="minorHAnsi"/>
          <w:b/>
          <w:bCs/>
          <w:sz w:val="22"/>
          <w:szCs w:val="22"/>
        </w:rPr>
        <w:t>Felügyeleti célok:</w:t>
      </w:r>
    </w:p>
    <w:p w14:paraId="3AAA9AE1" w14:textId="0B41F01F" w:rsidR="00EE798C" w:rsidRPr="00A70935" w:rsidRDefault="00EE798C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70935">
        <w:rPr>
          <w:rFonts w:asciiTheme="minorHAnsi" w:hAnsiTheme="minorHAnsi" w:cstheme="minorHAnsi"/>
          <w:sz w:val="22"/>
          <w:szCs w:val="22"/>
          <w:shd w:val="clear" w:color="auto" w:fill="FFFFFF"/>
        </w:rPr>
        <w:t>Az MNB elsődleges céljának veszélyeztetése nélkül támogatja a pénzügyi közvetítőrendszer stabilitásának fenntartását, ellenállóképességének növelését, a gazdasági növekedéshez való fenntartható hozzájárulásának biztosítását és a rendelkezésére álló eszközökkel a Kormány gazdaság-, valamint a környezeti fenntarthatósággal kapcsolatos politikáját.</w:t>
      </w:r>
    </w:p>
    <w:p w14:paraId="60C70C20" w14:textId="70B1397B" w:rsidR="00EE798C" w:rsidRDefault="00EE798C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9F708D6" w14:textId="66379BF6" w:rsidR="00695C3B" w:rsidRPr="00695C3B" w:rsidRDefault="00695C3B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5C3B">
        <w:rPr>
          <w:rFonts w:asciiTheme="minorHAnsi" w:hAnsiTheme="minorHAnsi" w:cstheme="minorHAnsi"/>
          <w:b/>
          <w:bCs/>
          <w:sz w:val="22"/>
          <w:szCs w:val="22"/>
        </w:rPr>
        <w:t>Fő felügyeleti feladatkörök:</w:t>
      </w:r>
    </w:p>
    <w:p w14:paraId="53089C9E" w14:textId="77777777" w:rsidR="00EE798C" w:rsidRPr="00EE798C" w:rsidRDefault="00EE798C" w:rsidP="00E01449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E798C">
        <w:rPr>
          <w:rFonts w:asciiTheme="minorHAnsi" w:eastAsia="Times New Roman" w:hAnsiTheme="minorHAnsi" w:cstheme="minorHAnsi"/>
          <w:sz w:val="22"/>
          <w:szCs w:val="22"/>
        </w:rPr>
        <w:t>Az MNB ellátja pénzügyi közvetítőrendszer felügyeletét</w:t>
      </w:r>
    </w:p>
    <w:p w14:paraId="0C6D43A6" w14:textId="77777777" w:rsidR="00EE798C" w:rsidRPr="00EE798C" w:rsidRDefault="00EE798C" w:rsidP="00E01449">
      <w:pPr>
        <w:shd w:val="clear" w:color="auto" w:fill="FFFFFF"/>
        <w:spacing w:after="0" w:line="240" w:lineRule="auto"/>
        <w:ind w:firstLine="240"/>
        <w:rPr>
          <w:rFonts w:asciiTheme="minorHAnsi" w:eastAsia="Times New Roman" w:hAnsiTheme="minorHAnsi" w:cstheme="minorHAnsi"/>
          <w:sz w:val="22"/>
          <w:szCs w:val="22"/>
        </w:rPr>
      </w:pPr>
      <w:r w:rsidRPr="00EE798C">
        <w:rPr>
          <w:rFonts w:asciiTheme="minorHAnsi" w:eastAsia="Times New Roman" w:hAnsiTheme="minorHAnsi" w:cstheme="minorHAnsi"/>
          <w:i/>
          <w:iCs/>
          <w:sz w:val="22"/>
          <w:szCs w:val="22"/>
        </w:rPr>
        <w:t>a) </w:t>
      </w:r>
      <w:r w:rsidRPr="00EE798C">
        <w:rPr>
          <w:rFonts w:asciiTheme="minorHAnsi" w:eastAsia="Times New Roman" w:hAnsiTheme="minorHAnsi" w:cstheme="minorHAnsi"/>
          <w:sz w:val="22"/>
          <w:szCs w:val="22"/>
        </w:rPr>
        <w:t>a pénzügyi közvetítőrendszer zavartalan, átlátható és hatékony működésének biztosítása,</w:t>
      </w:r>
    </w:p>
    <w:p w14:paraId="56C90082" w14:textId="77777777" w:rsidR="00EE798C" w:rsidRPr="00EE798C" w:rsidRDefault="00EE798C" w:rsidP="00E01449">
      <w:pPr>
        <w:shd w:val="clear" w:color="auto" w:fill="FFFFFF"/>
        <w:spacing w:after="0" w:line="240" w:lineRule="auto"/>
        <w:ind w:left="240"/>
        <w:rPr>
          <w:rFonts w:asciiTheme="minorHAnsi" w:eastAsia="Times New Roman" w:hAnsiTheme="minorHAnsi" w:cstheme="minorHAnsi"/>
          <w:sz w:val="22"/>
          <w:szCs w:val="22"/>
        </w:rPr>
      </w:pPr>
      <w:r w:rsidRPr="00EE798C">
        <w:rPr>
          <w:rFonts w:asciiTheme="minorHAnsi" w:eastAsia="Times New Roman" w:hAnsiTheme="minorHAnsi" w:cstheme="minorHAnsi"/>
          <w:i/>
          <w:iCs/>
          <w:sz w:val="22"/>
          <w:szCs w:val="22"/>
        </w:rPr>
        <w:t>b) </w:t>
      </w:r>
      <w:r w:rsidRPr="00EE798C">
        <w:rPr>
          <w:rFonts w:asciiTheme="minorHAnsi" w:eastAsia="Times New Roman" w:hAnsiTheme="minorHAnsi" w:cstheme="minorHAnsi"/>
          <w:sz w:val="22"/>
          <w:szCs w:val="22"/>
        </w:rPr>
        <w:t>a pénzügyi közvetítőrendszer részét képező személyek és szervezetek prudens működésének elősegítése, a tulajdonosok gondos joggyakorlásának felügyelete,</w:t>
      </w:r>
    </w:p>
    <w:p w14:paraId="782566D2" w14:textId="270E3C03" w:rsidR="00EE798C" w:rsidRPr="00EE798C" w:rsidRDefault="00EE798C" w:rsidP="00E01449">
      <w:pPr>
        <w:shd w:val="clear" w:color="auto" w:fill="FFFFFF"/>
        <w:spacing w:after="0" w:line="240" w:lineRule="auto"/>
        <w:ind w:left="240"/>
        <w:rPr>
          <w:rFonts w:asciiTheme="minorHAnsi" w:eastAsia="Times New Roman" w:hAnsiTheme="minorHAnsi" w:cstheme="minorHAnsi"/>
          <w:sz w:val="22"/>
          <w:szCs w:val="22"/>
        </w:rPr>
      </w:pPr>
      <w:r w:rsidRPr="00EE798C">
        <w:rPr>
          <w:rFonts w:asciiTheme="minorHAnsi" w:eastAsia="Times New Roman" w:hAnsiTheme="minorHAnsi" w:cstheme="minorHAnsi"/>
          <w:i/>
          <w:iCs/>
          <w:sz w:val="22"/>
          <w:szCs w:val="22"/>
        </w:rPr>
        <w:t>c) </w:t>
      </w:r>
      <w:r w:rsidRPr="00EE798C">
        <w:rPr>
          <w:rFonts w:asciiTheme="minorHAnsi" w:eastAsia="Times New Roman" w:hAnsiTheme="minorHAnsi" w:cstheme="minorHAnsi"/>
          <w:sz w:val="22"/>
          <w:szCs w:val="22"/>
        </w:rPr>
        <w:t xml:space="preserve">az egyes pénzügyi szervezeteket, illetve a pénzügyi szervezetek egyes szektorait fenyegető, nemkívánatos üzleti és gazdasági kockázatok feltárása, a már kialakult egyedi vagy </w:t>
      </w:r>
      <w:proofErr w:type="spellStart"/>
      <w:r w:rsidRPr="00EE798C">
        <w:rPr>
          <w:rFonts w:asciiTheme="minorHAnsi" w:eastAsia="Times New Roman" w:hAnsiTheme="minorHAnsi" w:cstheme="minorHAnsi"/>
          <w:sz w:val="22"/>
          <w:szCs w:val="22"/>
        </w:rPr>
        <w:t>szektorális</w:t>
      </w:r>
      <w:proofErr w:type="spellEnd"/>
      <w:r w:rsidRPr="00EE798C">
        <w:rPr>
          <w:rFonts w:asciiTheme="minorHAnsi" w:eastAsia="Times New Roman" w:hAnsiTheme="minorHAnsi" w:cstheme="minorHAnsi"/>
          <w:sz w:val="22"/>
          <w:szCs w:val="22"/>
        </w:rPr>
        <w:t xml:space="preserve"> kockázatok csökkentése vagy megszüntetése, illetve az egyes pénzügyi szervezetek prudens működésének biztosítása érdekében megelőző intézkedések alkalmazása,</w:t>
      </w:r>
    </w:p>
    <w:p w14:paraId="1ED0EC63" w14:textId="6F5982F0" w:rsidR="00EE798C" w:rsidRPr="00A70935" w:rsidRDefault="00EE798C" w:rsidP="00E01449">
      <w:pPr>
        <w:shd w:val="clear" w:color="auto" w:fill="FFFFFF"/>
        <w:spacing w:after="0" w:line="240" w:lineRule="auto"/>
        <w:ind w:left="240"/>
        <w:rPr>
          <w:rFonts w:asciiTheme="minorHAnsi" w:eastAsia="Times New Roman" w:hAnsiTheme="minorHAnsi" w:cstheme="minorHAnsi"/>
          <w:sz w:val="22"/>
          <w:szCs w:val="22"/>
        </w:rPr>
      </w:pPr>
      <w:r w:rsidRPr="00EE798C">
        <w:rPr>
          <w:rFonts w:asciiTheme="minorHAnsi" w:eastAsia="Times New Roman" w:hAnsiTheme="minorHAnsi" w:cstheme="minorHAnsi"/>
          <w:i/>
          <w:iCs/>
          <w:sz w:val="22"/>
          <w:szCs w:val="22"/>
        </w:rPr>
        <w:t>d) </w:t>
      </w:r>
      <w:r w:rsidRPr="00EE798C">
        <w:rPr>
          <w:rFonts w:asciiTheme="minorHAnsi" w:eastAsia="Times New Roman" w:hAnsiTheme="minorHAnsi" w:cstheme="minorHAnsi"/>
          <w:sz w:val="22"/>
          <w:szCs w:val="22"/>
        </w:rPr>
        <w:t xml:space="preserve">a pénzügyi szervezetek által nyújtott szolgáltatásokat </w:t>
      </w:r>
      <w:proofErr w:type="spellStart"/>
      <w:r w:rsidRPr="00EE798C">
        <w:rPr>
          <w:rFonts w:asciiTheme="minorHAnsi" w:eastAsia="Times New Roman" w:hAnsiTheme="minorHAnsi" w:cstheme="minorHAnsi"/>
          <w:sz w:val="22"/>
          <w:szCs w:val="22"/>
        </w:rPr>
        <w:t>igénybevevők</w:t>
      </w:r>
      <w:proofErr w:type="spellEnd"/>
      <w:r w:rsidRPr="00EE798C">
        <w:rPr>
          <w:rFonts w:asciiTheme="minorHAnsi" w:eastAsia="Times New Roman" w:hAnsiTheme="minorHAnsi" w:cstheme="minorHAnsi"/>
          <w:sz w:val="22"/>
          <w:szCs w:val="22"/>
        </w:rPr>
        <w:t xml:space="preserve"> érdekeinek védelme, a pénzügyi közvetítőrendszerrel szembeni közbizalom erősítése</w:t>
      </w:r>
      <w:r w:rsidRPr="00A7093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E798C">
        <w:rPr>
          <w:rFonts w:asciiTheme="minorHAnsi" w:eastAsia="Times New Roman" w:hAnsiTheme="minorHAnsi" w:cstheme="minorHAnsi"/>
          <w:sz w:val="22"/>
          <w:szCs w:val="22"/>
        </w:rPr>
        <w:t>céljából.</w:t>
      </w:r>
    </w:p>
    <w:p w14:paraId="58012E3E" w14:textId="0AEED983" w:rsidR="00EE798C" w:rsidRPr="00EE798C" w:rsidRDefault="00EE798C" w:rsidP="00D5302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A70935">
        <w:rPr>
          <w:rFonts w:asciiTheme="minorHAnsi" w:eastAsia="Times New Roman" w:hAnsiTheme="minorHAnsi" w:cstheme="minorHAnsi"/>
          <w:sz w:val="22"/>
          <w:szCs w:val="22"/>
        </w:rPr>
        <w:t xml:space="preserve">Részletesen: a Magyar Nemzeti Bankról szóló 2013. évi CXXXIX. törvény </w:t>
      </w:r>
      <w:r w:rsidR="00850161">
        <w:rPr>
          <w:rFonts w:asciiTheme="minorHAnsi" w:eastAsia="Times New Roman" w:hAnsiTheme="minorHAnsi" w:cstheme="minorHAnsi"/>
          <w:sz w:val="22"/>
          <w:szCs w:val="22"/>
        </w:rPr>
        <w:t xml:space="preserve">(„MNB tv.”) </w:t>
      </w:r>
      <w:r w:rsidRPr="00A70935">
        <w:rPr>
          <w:rFonts w:asciiTheme="minorHAnsi" w:eastAsia="Times New Roman" w:hAnsiTheme="minorHAnsi" w:cstheme="minorHAnsi"/>
          <w:sz w:val="22"/>
          <w:szCs w:val="22"/>
        </w:rPr>
        <w:t>Második rész, V. Fejezet</w:t>
      </w:r>
    </w:p>
    <w:p w14:paraId="5FD5CCA6" w14:textId="77777777" w:rsidR="00EE798C" w:rsidRDefault="00EE798C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F7A082" w14:textId="77777777" w:rsidR="009310EB" w:rsidRDefault="009310EB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D1AB12" w14:textId="3D5CA0CD" w:rsidR="00EE798C" w:rsidRDefault="00EE798C" w:rsidP="00D5302F">
      <w:pPr>
        <w:pStyle w:val="doc-ti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Pr="00EE798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felügyeleti felülvizsgálati eljárásra vonatkozó információk</w:t>
      </w:r>
    </w:p>
    <w:p w14:paraId="2591B0F7" w14:textId="178401AA" w:rsidR="00E01449" w:rsidRDefault="00E01449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E4087C3" w14:textId="1692E471" w:rsidR="00EF2F1C" w:rsidRPr="00EF2F1C" w:rsidRDefault="00EF2F1C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F2F1C">
        <w:rPr>
          <w:rFonts w:asciiTheme="minorHAnsi" w:hAnsiTheme="minorHAnsi" w:cstheme="minorHAnsi"/>
          <w:b/>
          <w:bCs/>
          <w:sz w:val="22"/>
          <w:szCs w:val="22"/>
        </w:rPr>
        <w:t>A felügyeleti felülvizsgálati eljárás szemlélete:</w:t>
      </w:r>
    </w:p>
    <w:p w14:paraId="1DC26C8F" w14:textId="6549C854" w:rsidR="00A70935" w:rsidRPr="00A70935" w:rsidRDefault="00A70935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70935"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="00E014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 </w:t>
      </w:r>
      <w:r w:rsidR="00E01449" w:rsidRPr="00A7093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MNB </w:t>
      </w:r>
      <w:r w:rsidRPr="00A70935">
        <w:rPr>
          <w:rFonts w:asciiTheme="minorHAnsi" w:hAnsiTheme="minorHAnsi" w:cstheme="minorHAnsi"/>
          <w:sz w:val="22"/>
          <w:szCs w:val="22"/>
          <w:shd w:val="clear" w:color="auto" w:fill="FFFFFF"/>
        </w:rPr>
        <w:t>felügyeleti felülvizsgálataiban kockázatalapú, előre tekintő és arányos felügyeleti szemléletet alkalmaz. A cél az, hogy a felügyeleti felülvizsgálat keretében végzett felügyeleti folyamatok és gyakorlatok egységes eredményekre vezessenek. A</w:t>
      </w:r>
      <w:r w:rsidR="00695C3B">
        <w:rPr>
          <w:rFonts w:asciiTheme="minorHAnsi" w:hAnsiTheme="minorHAnsi" w:cstheme="minorHAnsi"/>
          <w:sz w:val="22"/>
          <w:szCs w:val="22"/>
          <w:shd w:val="clear" w:color="auto" w:fill="FFFFFF"/>
        </w:rPr>
        <w:t>z MNB</w:t>
      </w:r>
      <w:r w:rsidRPr="00A7093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intézkedéseit esetről esetre hozza meg, figyelembe véve az érintett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foglalkoztatói nyugdíjszolgáltató intézmények</w:t>
      </w:r>
      <w:r w:rsidRPr="00A7093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sajátosságait, a hazai piaci viszonyokat, valamint az egyéb felügyeleti prioritásokat is. Ennek keretében a</w:t>
      </w:r>
      <w:r w:rsidR="00695C3B">
        <w:rPr>
          <w:rFonts w:asciiTheme="minorHAnsi" w:hAnsiTheme="minorHAnsi" w:cstheme="minorHAnsi"/>
          <w:sz w:val="22"/>
          <w:szCs w:val="22"/>
          <w:shd w:val="clear" w:color="auto" w:fill="FFFFFF"/>
        </w:rPr>
        <w:t>z MNB</w:t>
      </w:r>
      <w:r w:rsidRPr="00A7093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biztosítja</w:t>
      </w:r>
    </w:p>
    <w:p w14:paraId="46CB661E" w14:textId="68B99751" w:rsidR="00A70935" w:rsidRPr="00A70935" w:rsidRDefault="00A70935" w:rsidP="00EF2F1C">
      <w:pPr>
        <w:pStyle w:val="doc-ti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70935">
        <w:rPr>
          <w:rFonts w:asciiTheme="minorHAnsi" w:hAnsiTheme="minorHAnsi" w:cstheme="minorHAnsi"/>
          <w:sz w:val="22"/>
          <w:szCs w:val="22"/>
          <w:shd w:val="clear" w:color="auto" w:fill="FFFFFF"/>
        </w:rPr>
        <w:t>hogy a felügyeleti felülvizsgálat három részfolyamatból álljon: a kockázatértékelési keretrendszerből, a részletes felülvizsgálatból és a felügyeleti intézkedésekből;</w:t>
      </w:r>
    </w:p>
    <w:p w14:paraId="04196146" w14:textId="74D57E41" w:rsidR="00A70935" w:rsidRPr="00A70935" w:rsidRDefault="00A70935" w:rsidP="00EF2F1C">
      <w:pPr>
        <w:pStyle w:val="doc-ti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70935">
        <w:rPr>
          <w:rFonts w:asciiTheme="minorHAnsi" w:hAnsiTheme="minorHAnsi" w:cstheme="minorHAnsi"/>
          <w:sz w:val="22"/>
          <w:szCs w:val="22"/>
          <w:shd w:val="clear" w:color="auto" w:fill="FFFFFF"/>
        </w:rPr>
        <w:t>a felügyeleti felülvizsgálat egységességét;</w:t>
      </w:r>
    </w:p>
    <w:p w14:paraId="5CB55BC5" w14:textId="3D5974C1" w:rsidR="00A70935" w:rsidRPr="00A70935" w:rsidRDefault="00A70935" w:rsidP="00EF2F1C">
      <w:pPr>
        <w:pStyle w:val="doc-ti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70935">
        <w:rPr>
          <w:rFonts w:asciiTheme="minorHAnsi" w:hAnsiTheme="minorHAnsi" w:cstheme="minorHAnsi"/>
          <w:sz w:val="22"/>
          <w:szCs w:val="22"/>
          <w:shd w:val="clear" w:color="auto" w:fill="FFFFFF"/>
        </w:rPr>
        <w:t>az arányosság elvének érvényesülését a felügyeleti felülvizsgálatokban;</w:t>
      </w:r>
    </w:p>
    <w:p w14:paraId="348E8E40" w14:textId="2BE0F4BE" w:rsidR="00A70935" w:rsidRPr="00A70935" w:rsidRDefault="00A70935" w:rsidP="00EF2F1C">
      <w:pPr>
        <w:pStyle w:val="doc-ti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70935">
        <w:rPr>
          <w:rFonts w:asciiTheme="minorHAnsi" w:hAnsiTheme="minorHAnsi" w:cstheme="minorHAnsi"/>
          <w:sz w:val="22"/>
          <w:szCs w:val="22"/>
          <w:shd w:val="clear" w:color="auto" w:fill="FFFFFF"/>
        </w:rPr>
        <w:t>a felügyeleti mérlegelést a felügyeleti vizsgálat minden szakaszában;</w:t>
      </w:r>
    </w:p>
    <w:p w14:paraId="403C88A6" w14:textId="34FE3673" w:rsidR="00A70935" w:rsidRDefault="00A70935" w:rsidP="00EF2F1C">
      <w:pPr>
        <w:pStyle w:val="doc-ti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70935">
        <w:rPr>
          <w:rFonts w:asciiTheme="minorHAnsi" w:hAnsiTheme="minorHAnsi" w:cstheme="minorHAnsi"/>
          <w:sz w:val="22"/>
          <w:szCs w:val="22"/>
          <w:shd w:val="clear" w:color="auto" w:fill="FFFFFF"/>
        </w:rPr>
        <w:t>a megfelelő szintű és folyamatos kommunikációt a</w:t>
      </w:r>
      <w:r w:rsidR="00F36F96">
        <w:rPr>
          <w:rFonts w:asciiTheme="minorHAnsi" w:hAnsiTheme="minorHAnsi" w:cstheme="minorHAnsi"/>
          <w:sz w:val="22"/>
          <w:szCs w:val="22"/>
          <w:shd w:val="clear" w:color="auto" w:fill="FFFFFF"/>
        </w:rPr>
        <w:t>z MNB</w:t>
      </w:r>
      <w:r w:rsidRPr="00A7093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és az intézmény munkatársai között a felügyeleti vizsgálat teljes időtartama alatt.</w:t>
      </w:r>
    </w:p>
    <w:p w14:paraId="51FAFAB6" w14:textId="6D8639D1" w:rsidR="00A70935" w:rsidRDefault="00A70935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1650ACD" w14:textId="3E6F1752" w:rsidR="00EF2F1C" w:rsidRDefault="00EF2F1C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F2F1C">
        <w:rPr>
          <w:rFonts w:asciiTheme="minorHAnsi" w:hAnsiTheme="minorHAnsi" w:cstheme="minorHAnsi"/>
          <w:b/>
          <w:bCs/>
          <w:sz w:val="22"/>
          <w:szCs w:val="22"/>
        </w:rPr>
        <w:t xml:space="preserve">A felügyeleti felülvizsgálati eljárás </w:t>
      </w:r>
      <w:r>
        <w:rPr>
          <w:rFonts w:asciiTheme="minorHAnsi" w:hAnsiTheme="minorHAnsi" w:cstheme="minorHAnsi"/>
          <w:b/>
          <w:bCs/>
          <w:sz w:val="22"/>
          <w:szCs w:val="22"/>
        </w:rPr>
        <w:t>gyakorisága:</w:t>
      </w:r>
    </w:p>
    <w:p w14:paraId="515D3F24" w14:textId="2E2ABCA9" w:rsidR="00E01449" w:rsidRDefault="00E01449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01449">
        <w:rPr>
          <w:rFonts w:asciiTheme="minorHAnsi" w:hAnsiTheme="minorHAnsi" w:cstheme="minorHAnsi"/>
          <w:sz w:val="22"/>
          <w:szCs w:val="22"/>
          <w:shd w:val="clear" w:color="auto" w:fill="FFFFFF"/>
        </w:rPr>
        <w:t>Az MNB a foglalkoztatói nyugdíjszolgáltató intézmények esetében a</w:t>
      </w:r>
      <w:r w:rsidR="00850161">
        <w:rPr>
          <w:rFonts w:asciiTheme="minorHAnsi" w:hAnsiTheme="minorHAnsi" w:cstheme="minorHAnsi"/>
          <w:sz w:val="22"/>
          <w:szCs w:val="22"/>
          <w:shd w:val="clear" w:color="auto" w:fill="FFFFFF"/>
        </w:rPr>
        <w:t>z MNB tv.</w:t>
      </w:r>
      <w:r w:rsidRPr="00E014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64.</w:t>
      </w:r>
      <w:r w:rsidR="00887CD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E01449">
        <w:rPr>
          <w:rFonts w:asciiTheme="minorHAnsi" w:hAnsiTheme="minorHAnsi" w:cstheme="minorHAnsi"/>
          <w:sz w:val="22"/>
          <w:szCs w:val="22"/>
          <w:shd w:val="clear" w:color="auto" w:fill="FFFFFF"/>
        </w:rPr>
        <w:t>§ (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2</w:t>
      </w:r>
      <w:r w:rsidRPr="00E01449">
        <w:rPr>
          <w:rFonts w:asciiTheme="minorHAnsi" w:hAnsiTheme="minorHAnsi" w:cstheme="minorHAnsi"/>
          <w:sz w:val="22"/>
          <w:szCs w:val="22"/>
          <w:shd w:val="clear" w:color="auto" w:fill="FFFFFF"/>
        </w:rPr>
        <w:t>) bek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ezdés </w:t>
      </w:r>
      <w:r w:rsidRPr="00E014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d) pontja szerint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legalább </w:t>
      </w:r>
      <w:r w:rsidRPr="00E01449">
        <w:rPr>
          <w:rFonts w:asciiTheme="minorHAnsi" w:hAnsiTheme="minorHAnsi" w:cstheme="minorHAnsi"/>
          <w:sz w:val="22"/>
          <w:szCs w:val="22"/>
          <w:shd w:val="clear" w:color="auto" w:fill="FFFFFF"/>
        </w:rPr>
        <w:t>5 évente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átfogó vizsgálatot</w:t>
      </w:r>
      <w:r w:rsidRPr="00E014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folytat le.</w:t>
      </w:r>
    </w:p>
    <w:p w14:paraId="5F155B52" w14:textId="46DE7EED" w:rsidR="00E01449" w:rsidRDefault="00E01449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357BD8F" w14:textId="688C86DE" w:rsidR="00EF2F1C" w:rsidRDefault="00EF2F1C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F2F1C">
        <w:rPr>
          <w:rFonts w:asciiTheme="minorHAnsi" w:hAnsiTheme="minorHAnsi" w:cstheme="minorHAnsi"/>
          <w:b/>
          <w:bCs/>
          <w:sz w:val="22"/>
          <w:szCs w:val="22"/>
        </w:rPr>
        <w:t>A felügyeleti felülvizsgálati eljárás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tartalmi kritériumait meghatározó fő jogszabályok:</w:t>
      </w:r>
    </w:p>
    <w:p w14:paraId="381D837A" w14:textId="39972F54" w:rsidR="00EF2F1C" w:rsidRPr="00EF2F1C" w:rsidRDefault="00EF2F1C" w:rsidP="00451BA2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F2F1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Magyar Nemzeti Bankról szóló </w:t>
      </w:r>
      <w:r w:rsidR="00927CEF" w:rsidRPr="00927CEF">
        <w:rPr>
          <w:rFonts w:asciiTheme="minorHAnsi" w:hAnsiTheme="minorHAnsi" w:cstheme="minorHAnsi"/>
          <w:sz w:val="22"/>
          <w:szCs w:val="22"/>
          <w:shd w:val="clear" w:color="auto" w:fill="FFFFFF"/>
        </w:rPr>
        <w:t>2013. évi CXXXIX. törvény</w:t>
      </w:r>
    </w:p>
    <w:p w14:paraId="5F49B45D" w14:textId="4A940F8D" w:rsidR="00EF2F1C" w:rsidRPr="00EF2F1C" w:rsidRDefault="00EF2F1C" w:rsidP="00EF2F1C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F2F1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foglalkoztatói nyugdíjról és intézményről szóló </w:t>
      </w:r>
      <w:r w:rsidR="00927CEF" w:rsidRPr="00927CEF">
        <w:rPr>
          <w:rFonts w:asciiTheme="minorHAnsi" w:hAnsiTheme="minorHAnsi" w:cstheme="minorHAnsi"/>
          <w:sz w:val="22"/>
          <w:szCs w:val="22"/>
          <w:shd w:val="clear" w:color="auto" w:fill="FFFFFF"/>
        </w:rPr>
        <w:t>2007. évi CXVII. törvény</w:t>
      </w:r>
    </w:p>
    <w:p w14:paraId="299933D8" w14:textId="735B855A" w:rsidR="00EF2F1C" w:rsidRPr="00EF2F1C" w:rsidRDefault="00EF2F1C" w:rsidP="00EF2F1C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F2F1C">
        <w:rPr>
          <w:rFonts w:asciiTheme="minorHAnsi" w:hAnsiTheme="minorHAnsi" w:cstheme="minorHAnsi"/>
          <w:sz w:val="22"/>
          <w:szCs w:val="22"/>
          <w:shd w:val="clear" w:color="auto" w:fill="FFFFFF"/>
        </w:rPr>
        <w:t>A biztosítási tevékenységről szóló</w:t>
      </w:r>
      <w:r w:rsidR="00FB5E1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B5E1B" w:rsidRPr="00FB5E1B">
        <w:rPr>
          <w:rFonts w:asciiTheme="minorHAnsi" w:hAnsiTheme="minorHAnsi" w:cstheme="minorHAnsi"/>
          <w:sz w:val="22"/>
          <w:szCs w:val="22"/>
          <w:shd w:val="clear" w:color="auto" w:fill="FFFFFF"/>
        </w:rPr>
        <w:t>2014. évi LXXXVIII. törvény</w:t>
      </w:r>
    </w:p>
    <w:p w14:paraId="7566BA0F" w14:textId="26806AFD" w:rsidR="00EF2F1C" w:rsidRPr="00EF2F1C" w:rsidRDefault="00EF2F1C" w:rsidP="00EF2F1C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F2F1C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A számvitelről szóló </w:t>
      </w:r>
      <w:r w:rsidR="00927CEF" w:rsidRPr="00927CEF">
        <w:rPr>
          <w:rFonts w:asciiTheme="minorHAnsi" w:hAnsiTheme="minorHAnsi" w:cstheme="minorHAnsi"/>
          <w:sz w:val="22"/>
          <w:szCs w:val="22"/>
          <w:shd w:val="clear" w:color="auto" w:fill="FFFFFF"/>
        </w:rPr>
        <w:t>2000. évi C. törvény</w:t>
      </w:r>
    </w:p>
    <w:p w14:paraId="00FCD46E" w14:textId="421A58AD" w:rsidR="00EF2F1C" w:rsidRPr="00EF2F1C" w:rsidRDefault="00EF2F1C" w:rsidP="00EF2F1C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F2F1C">
        <w:rPr>
          <w:rFonts w:asciiTheme="minorHAnsi" w:hAnsiTheme="minorHAnsi" w:cstheme="minorHAnsi"/>
          <w:sz w:val="22"/>
          <w:szCs w:val="22"/>
          <w:shd w:val="clear" w:color="auto" w:fill="FFFFFF"/>
        </w:rPr>
        <w:t>A pénzmosás</w:t>
      </w:r>
      <w:r w:rsidR="00B218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és terrorizmus finanszírozása</w:t>
      </w:r>
      <w:r w:rsidRPr="00EF2F1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megelőzéséről és megakadályozásáról szóló </w:t>
      </w:r>
      <w:r w:rsidR="00B218B9" w:rsidRPr="00927CEF">
        <w:rPr>
          <w:rFonts w:asciiTheme="minorHAnsi" w:hAnsiTheme="minorHAnsi" w:cstheme="minorHAnsi"/>
          <w:sz w:val="22"/>
          <w:szCs w:val="22"/>
          <w:shd w:val="clear" w:color="auto" w:fill="FFFFFF"/>
        </w:rPr>
        <w:t>20</w:t>
      </w:r>
      <w:r w:rsidR="00B218B9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B218B9" w:rsidRPr="00927CEF">
        <w:rPr>
          <w:rFonts w:asciiTheme="minorHAnsi" w:hAnsiTheme="minorHAnsi" w:cstheme="minorHAnsi"/>
          <w:sz w:val="22"/>
          <w:szCs w:val="22"/>
          <w:shd w:val="clear" w:color="auto" w:fill="FFFFFF"/>
        </w:rPr>
        <w:t>7</w:t>
      </w:r>
      <w:r w:rsidR="00927CEF" w:rsidRPr="00927CE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évi </w:t>
      </w:r>
      <w:r w:rsidR="00B218B9">
        <w:rPr>
          <w:rFonts w:asciiTheme="minorHAnsi" w:hAnsiTheme="minorHAnsi" w:cstheme="minorHAnsi"/>
          <w:sz w:val="22"/>
          <w:szCs w:val="22"/>
          <w:shd w:val="clear" w:color="auto" w:fill="FFFFFF"/>
        </w:rPr>
        <w:t>LII</w:t>
      </w:r>
      <w:r w:rsidR="00B218B9" w:rsidRPr="00927CEF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="00927CEF" w:rsidRPr="00927CEF">
        <w:rPr>
          <w:rFonts w:asciiTheme="minorHAnsi" w:hAnsiTheme="minorHAnsi" w:cstheme="minorHAnsi"/>
          <w:sz w:val="22"/>
          <w:szCs w:val="22"/>
          <w:shd w:val="clear" w:color="auto" w:fill="FFFFFF"/>
        </w:rPr>
        <w:t>. törvény</w:t>
      </w:r>
    </w:p>
    <w:p w14:paraId="7E6E208D" w14:textId="45A3CDC8" w:rsidR="00EF2F1C" w:rsidRPr="00EF2F1C" w:rsidRDefault="00EF2F1C" w:rsidP="00EF2F1C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F2F1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fogyasztókkal szembeni tisztességtelen kereskedelem tilalmáról szóló </w:t>
      </w:r>
      <w:r w:rsidR="00927CEF" w:rsidRPr="00927CEF">
        <w:rPr>
          <w:rFonts w:asciiTheme="minorHAnsi" w:hAnsiTheme="minorHAnsi" w:cstheme="minorHAnsi"/>
          <w:sz w:val="22"/>
          <w:szCs w:val="22"/>
          <w:shd w:val="clear" w:color="auto" w:fill="FFFFFF"/>
        </w:rPr>
        <w:t>2008. évi XLVII. törvény</w:t>
      </w:r>
    </w:p>
    <w:p w14:paraId="61E3C1F3" w14:textId="56CFD51A" w:rsidR="00EF2F1C" w:rsidRPr="00EF2F1C" w:rsidRDefault="00F2464F" w:rsidP="00EF2F1C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</w:t>
      </w:r>
      <w:r w:rsidR="005813CF" w:rsidRPr="005813CF">
        <w:rPr>
          <w:rFonts w:asciiTheme="minorHAnsi" w:hAnsiTheme="minorHAnsi" w:cstheme="minorHAnsi"/>
          <w:sz w:val="22"/>
          <w:szCs w:val="22"/>
          <w:shd w:val="clear" w:color="auto" w:fill="FFFFFF"/>
        </w:rPr>
        <w:t>foglalkoztatói nyugdíjszolgáltató intézmények szavatolótőke-szükségletének kiszámításáról</w:t>
      </w:r>
      <w:r w:rsidR="005813C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F2F1C" w:rsidRPr="00EF2F1C">
        <w:rPr>
          <w:rFonts w:asciiTheme="minorHAnsi" w:hAnsiTheme="minorHAnsi" w:cstheme="minorHAnsi"/>
          <w:sz w:val="22"/>
          <w:szCs w:val="22"/>
          <w:shd w:val="clear" w:color="auto" w:fill="FFFFFF"/>
        </w:rPr>
        <w:t>szóló 4</w:t>
      </w:r>
      <w:r w:rsidR="005813CF">
        <w:rPr>
          <w:rFonts w:asciiTheme="minorHAnsi" w:hAnsiTheme="minorHAnsi" w:cstheme="minorHAnsi"/>
          <w:sz w:val="22"/>
          <w:szCs w:val="22"/>
          <w:shd w:val="clear" w:color="auto" w:fill="FFFFFF"/>
        </w:rPr>
        <w:t>61</w:t>
      </w:r>
      <w:r w:rsidR="00EF2F1C" w:rsidRPr="00EF2F1C">
        <w:rPr>
          <w:rFonts w:asciiTheme="minorHAnsi" w:hAnsiTheme="minorHAnsi" w:cstheme="minorHAnsi"/>
          <w:sz w:val="22"/>
          <w:szCs w:val="22"/>
          <w:shd w:val="clear" w:color="auto" w:fill="FFFFFF"/>
        </w:rPr>
        <w:t>/2015. (</w:t>
      </w:r>
      <w:r w:rsidR="005813CF">
        <w:rPr>
          <w:rFonts w:asciiTheme="minorHAnsi" w:hAnsiTheme="minorHAnsi" w:cstheme="minorHAnsi"/>
          <w:sz w:val="22"/>
          <w:szCs w:val="22"/>
          <w:shd w:val="clear" w:color="auto" w:fill="FFFFFF"/>
        </w:rPr>
        <w:t>X</w:t>
      </w:r>
      <w:r w:rsidR="005813CF" w:rsidRPr="00EF2F1C">
        <w:rPr>
          <w:rFonts w:asciiTheme="minorHAnsi" w:hAnsiTheme="minorHAnsi" w:cstheme="minorHAnsi"/>
          <w:sz w:val="22"/>
          <w:szCs w:val="22"/>
          <w:shd w:val="clear" w:color="auto" w:fill="FFFFFF"/>
        </w:rPr>
        <w:t>II</w:t>
      </w:r>
      <w:r w:rsidR="00EF2F1C" w:rsidRPr="00EF2F1C">
        <w:rPr>
          <w:rFonts w:asciiTheme="minorHAnsi" w:hAnsiTheme="minorHAnsi" w:cstheme="minorHAnsi"/>
          <w:sz w:val="22"/>
          <w:szCs w:val="22"/>
          <w:shd w:val="clear" w:color="auto" w:fill="FFFFFF"/>
        </w:rPr>
        <w:t>. 2</w:t>
      </w:r>
      <w:r w:rsidR="005813CF">
        <w:rPr>
          <w:rFonts w:asciiTheme="minorHAnsi" w:hAnsiTheme="minorHAnsi" w:cstheme="minorHAnsi"/>
          <w:sz w:val="22"/>
          <w:szCs w:val="22"/>
          <w:shd w:val="clear" w:color="auto" w:fill="FFFFFF"/>
        </w:rPr>
        <w:t>9</w:t>
      </w:r>
      <w:r w:rsidR="00EF2F1C" w:rsidRPr="00EF2F1C">
        <w:rPr>
          <w:rFonts w:asciiTheme="minorHAnsi" w:hAnsiTheme="minorHAnsi" w:cstheme="minorHAnsi"/>
          <w:sz w:val="22"/>
          <w:szCs w:val="22"/>
          <w:shd w:val="clear" w:color="auto" w:fill="FFFFFF"/>
        </w:rPr>
        <w:t>.) Korm. rendelet</w:t>
      </w:r>
    </w:p>
    <w:p w14:paraId="79946EE6" w14:textId="77777777" w:rsidR="00EF2F1C" w:rsidRPr="00EF2F1C" w:rsidRDefault="00EF2F1C" w:rsidP="00EF2F1C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F2F1C">
        <w:rPr>
          <w:rFonts w:asciiTheme="minorHAnsi" w:hAnsiTheme="minorHAnsi" w:cstheme="minorHAnsi"/>
          <w:sz w:val="22"/>
          <w:szCs w:val="22"/>
          <w:shd w:val="clear" w:color="auto" w:fill="FFFFFF"/>
        </w:rPr>
        <w:t>A foglalkoztatói nyugdíjszolgáltató intézmények éves beszámoló készítési és könyvvezetési kötelezettségének sajátosságairól szóló 399/2007. (XII.27.) Korm. rendelet</w:t>
      </w:r>
    </w:p>
    <w:p w14:paraId="721EE3DD" w14:textId="14F1F41E" w:rsidR="00EF2F1C" w:rsidRDefault="00EF2F1C" w:rsidP="00EF2F1C">
      <w:pPr>
        <w:pStyle w:val="doc-ti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Pr="00EF2F1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pénztárak és a foglalkoztatói nyugdíjszolgáltató intézmény által a jegybanki információs rendszerhez elsődlegesen a Magyar Nemzeti Bank felügyeleti feladatai ellátása érdekében teljesítendő adatszolgáltatási kötelezettségekről szóló </w:t>
      </w:r>
      <w:r w:rsidR="003B6BF0" w:rsidRPr="00EF2F1C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 w:rsidR="003B6BF0">
        <w:rPr>
          <w:rFonts w:asciiTheme="minorHAnsi" w:hAnsiTheme="minorHAnsi" w:cstheme="minorHAnsi"/>
          <w:sz w:val="22"/>
          <w:szCs w:val="22"/>
          <w:shd w:val="clear" w:color="auto" w:fill="FFFFFF"/>
        </w:rPr>
        <w:t>8</w:t>
      </w:r>
      <w:r w:rsidRPr="00EF2F1C">
        <w:rPr>
          <w:rFonts w:asciiTheme="minorHAnsi" w:hAnsiTheme="minorHAnsi" w:cstheme="minorHAnsi"/>
          <w:sz w:val="22"/>
          <w:szCs w:val="22"/>
          <w:shd w:val="clear" w:color="auto" w:fill="FFFFFF"/>
        </w:rPr>
        <w:t>/</w:t>
      </w:r>
      <w:r w:rsidR="003B6BF0" w:rsidRPr="00EF2F1C">
        <w:rPr>
          <w:rFonts w:asciiTheme="minorHAnsi" w:hAnsiTheme="minorHAnsi" w:cstheme="minorHAnsi"/>
          <w:sz w:val="22"/>
          <w:szCs w:val="22"/>
          <w:shd w:val="clear" w:color="auto" w:fill="FFFFFF"/>
        </w:rPr>
        <w:t>202</w:t>
      </w:r>
      <w:r w:rsidR="003B6BF0">
        <w:rPr>
          <w:rFonts w:asciiTheme="minorHAnsi" w:hAnsiTheme="minorHAnsi" w:cstheme="minorHAnsi"/>
          <w:sz w:val="22"/>
          <w:szCs w:val="22"/>
          <w:shd w:val="clear" w:color="auto" w:fill="FFFFFF"/>
        </w:rPr>
        <w:t>4</w:t>
      </w:r>
      <w:r w:rsidRPr="00EF2F1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(XII. </w:t>
      </w:r>
      <w:r w:rsidR="003B6BF0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Pr="00EF2F1C">
        <w:rPr>
          <w:rFonts w:asciiTheme="minorHAnsi" w:hAnsiTheme="minorHAnsi" w:cstheme="minorHAnsi"/>
          <w:sz w:val="22"/>
          <w:szCs w:val="22"/>
          <w:shd w:val="clear" w:color="auto" w:fill="FFFFFF"/>
        </w:rPr>
        <w:t>.) MNB rendelet</w:t>
      </w:r>
    </w:p>
    <w:p w14:paraId="36FFA1EB" w14:textId="22E385EE" w:rsidR="00EF2F1C" w:rsidRDefault="00927CEF" w:rsidP="00EF2F1C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hivatkozott törvények és kormányrendeletek </w:t>
      </w:r>
      <w:hyperlink r:id="rId8" w:history="1">
        <w:r w:rsidRPr="00927CEF">
          <w:rPr>
            <w:rStyle w:val="Hiperhivatkozs"/>
            <w:rFonts w:asciiTheme="minorHAnsi" w:hAnsiTheme="minorHAnsi" w:cstheme="minorHAnsi"/>
            <w:sz w:val="22"/>
            <w:szCs w:val="22"/>
            <w:shd w:val="clear" w:color="auto" w:fill="FFFFFF"/>
            <w:vertAlign w:val="baseline"/>
          </w:rPr>
          <w:t>ITT</w:t>
        </w:r>
      </w:hyperlink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míg a vonatkozó MNB rendelet </w:t>
      </w:r>
      <w:hyperlink r:id="rId9" w:history="1">
        <w:r w:rsidRPr="00927CEF">
          <w:rPr>
            <w:rStyle w:val="Hiperhivatkozs"/>
            <w:rFonts w:asciiTheme="minorHAnsi" w:hAnsiTheme="minorHAnsi" w:cstheme="minorHAnsi"/>
            <w:sz w:val="22"/>
            <w:szCs w:val="22"/>
            <w:shd w:val="clear" w:color="auto" w:fill="FFFFFF"/>
            <w:vertAlign w:val="baseline"/>
          </w:rPr>
          <w:t>ITT</w:t>
        </w:r>
      </w:hyperlink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érhető el az MNB honlapján.</w:t>
      </w:r>
    </w:p>
    <w:p w14:paraId="054B87A4" w14:textId="77777777" w:rsidR="00927CEF" w:rsidRDefault="00927CEF" w:rsidP="00EF2F1C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CCE0C5E" w14:textId="65B5ED5E" w:rsidR="00A70935" w:rsidRDefault="00A70935" w:rsidP="00D5302F">
      <w:pPr>
        <w:pStyle w:val="doc-ti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Pr="00A7093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prudenciális előírások alkalmazásának főbb területeire vonatkozó összesített statisztikai adatok és kapcsolódó elemzés</w:t>
      </w:r>
    </w:p>
    <w:p w14:paraId="08C9A0D0" w14:textId="53EEBCED" w:rsidR="00A70935" w:rsidRPr="00E01449" w:rsidRDefault="00A70935" w:rsidP="00E01449">
      <w:pPr>
        <w:pStyle w:val="doc-ti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01449"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="00B20198">
        <w:rPr>
          <w:rFonts w:asciiTheme="minorHAnsi" w:hAnsiTheme="minorHAnsi" w:cstheme="minorHAnsi"/>
          <w:sz w:val="22"/>
          <w:szCs w:val="22"/>
          <w:shd w:val="clear" w:color="auto" w:fill="FFFFFF"/>
        </w:rPr>
        <w:t>z MNB</w:t>
      </w:r>
      <w:r w:rsidRPr="00E014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304A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(home hatóságként) </w:t>
      </w:r>
      <w:r w:rsidR="00B2019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</w:t>
      </w:r>
      <w:r w:rsidR="00887CD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magyar </w:t>
      </w:r>
      <w:r w:rsidRPr="00E014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piacon jelenleg </w:t>
      </w:r>
      <w:r w:rsidR="003B6BF0">
        <w:rPr>
          <w:rFonts w:asciiTheme="minorHAnsi" w:hAnsiTheme="minorHAnsi" w:cstheme="minorHAnsi"/>
          <w:sz w:val="22"/>
          <w:szCs w:val="22"/>
          <w:shd w:val="clear" w:color="auto" w:fill="FFFFFF"/>
        </w:rPr>
        <w:t>nem lát el</w:t>
      </w:r>
      <w:r w:rsidR="003B6BF0" w:rsidRPr="00E014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E01449">
        <w:rPr>
          <w:rFonts w:asciiTheme="minorHAnsi" w:hAnsiTheme="minorHAnsi" w:cstheme="minorHAnsi"/>
          <w:sz w:val="22"/>
          <w:szCs w:val="22"/>
          <w:shd w:val="clear" w:color="auto" w:fill="FFFFFF"/>
        </w:rPr>
        <w:t>foglalkoztatói nyugdíjszolgáltató intézmény</w:t>
      </w:r>
      <w:r w:rsidR="003B6BF0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="00B2019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felügyelet</w:t>
      </w:r>
      <w:r w:rsidR="003B6BF0">
        <w:rPr>
          <w:rFonts w:asciiTheme="minorHAnsi" w:hAnsiTheme="minorHAnsi" w:cstheme="minorHAnsi"/>
          <w:sz w:val="22"/>
          <w:szCs w:val="22"/>
          <w:shd w:val="clear" w:color="auto" w:fill="FFFFFF"/>
        </w:rPr>
        <w:t>e</w:t>
      </w:r>
      <w:r w:rsidR="00B20198">
        <w:rPr>
          <w:rFonts w:asciiTheme="minorHAnsi" w:hAnsiTheme="minorHAnsi" w:cstheme="minorHAnsi"/>
          <w:sz w:val="22"/>
          <w:szCs w:val="22"/>
          <w:shd w:val="clear" w:color="auto" w:fill="FFFFFF"/>
        </w:rPr>
        <w:t>t</w:t>
      </w:r>
      <w:r w:rsidRPr="00E014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3B6BF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tekintettel a korábban egyedüliként működő hazai foglalkoztatói nyugdíjszolgáltató intézmény megszűnésére – így összesített statisztikai adatok és kapcsolódó elemzés </w:t>
      </w:r>
      <w:r w:rsidR="00E01449" w:rsidRPr="00E0144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nem </w:t>
      </w:r>
      <w:r w:rsidR="00451BA2">
        <w:rPr>
          <w:rFonts w:asciiTheme="minorHAnsi" w:hAnsiTheme="minorHAnsi" w:cstheme="minorHAnsi"/>
          <w:sz w:val="22"/>
          <w:szCs w:val="22"/>
          <w:shd w:val="clear" w:color="auto" w:fill="FFFFFF"/>
        </w:rPr>
        <w:t>tehető közzé.</w:t>
      </w:r>
    </w:p>
    <w:sectPr w:rsidR="00A70935" w:rsidRPr="00E01449" w:rsidSect="00CD6E8D">
      <w:headerReference w:type="default" r:id="rId10"/>
      <w:footerReference w:type="default" r:id="rId11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2AA3" w14:textId="77777777" w:rsidR="00937336" w:rsidRDefault="00937336">
      <w:r>
        <w:separator/>
      </w:r>
    </w:p>
  </w:endnote>
  <w:endnote w:type="continuationSeparator" w:id="0">
    <w:p w14:paraId="404C6B3F" w14:textId="77777777" w:rsidR="00937336" w:rsidRDefault="0093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74AE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035D" w14:textId="77777777" w:rsidR="00937336" w:rsidRDefault="00937336">
      <w:r>
        <w:separator/>
      </w:r>
    </w:p>
  </w:footnote>
  <w:footnote w:type="continuationSeparator" w:id="0">
    <w:p w14:paraId="7DE24CE7" w14:textId="77777777" w:rsidR="00937336" w:rsidRDefault="00937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BB01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72F82"/>
    <w:multiLevelType w:val="hybridMultilevel"/>
    <w:tmpl w:val="ACA4B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C2F"/>
    <w:multiLevelType w:val="hybridMultilevel"/>
    <w:tmpl w:val="79C4D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8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95E04"/>
    <w:multiLevelType w:val="hybridMultilevel"/>
    <w:tmpl w:val="08BA4A3E"/>
    <w:lvl w:ilvl="0" w:tplc="040E0013">
      <w:start w:val="1"/>
      <w:numFmt w:val="upperRoman"/>
      <w:lvlText w:val="%1."/>
      <w:lvlJc w:val="righ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41156"/>
    <w:multiLevelType w:val="hybridMultilevel"/>
    <w:tmpl w:val="636A48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A2608"/>
    <w:multiLevelType w:val="hybridMultilevel"/>
    <w:tmpl w:val="AC1065DA"/>
    <w:lvl w:ilvl="0" w:tplc="C4D48E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83047">
    <w:abstractNumId w:val="6"/>
  </w:num>
  <w:num w:numId="2" w16cid:durableId="1092092391">
    <w:abstractNumId w:val="4"/>
  </w:num>
  <w:num w:numId="3" w16cid:durableId="1203976338">
    <w:abstractNumId w:val="7"/>
  </w:num>
  <w:num w:numId="4" w16cid:durableId="1636518456">
    <w:abstractNumId w:val="0"/>
  </w:num>
  <w:num w:numId="5" w16cid:durableId="660158953">
    <w:abstractNumId w:val="1"/>
  </w:num>
  <w:num w:numId="6" w16cid:durableId="1468007386">
    <w:abstractNumId w:val="9"/>
  </w:num>
  <w:num w:numId="7" w16cid:durableId="72892750">
    <w:abstractNumId w:val="5"/>
  </w:num>
  <w:num w:numId="8" w16cid:durableId="805271828">
    <w:abstractNumId w:val="12"/>
  </w:num>
  <w:num w:numId="9" w16cid:durableId="2107730850">
    <w:abstractNumId w:val="9"/>
    <w:lvlOverride w:ilvl="0">
      <w:startOverride w:val="1"/>
    </w:lvlOverride>
  </w:num>
  <w:num w:numId="10" w16cid:durableId="112867720">
    <w:abstractNumId w:val="13"/>
  </w:num>
  <w:num w:numId="11" w16cid:durableId="1440636637">
    <w:abstractNumId w:val="10"/>
  </w:num>
  <w:num w:numId="12" w16cid:durableId="392315738">
    <w:abstractNumId w:val="8"/>
  </w:num>
  <w:num w:numId="13" w16cid:durableId="1432510896">
    <w:abstractNumId w:val="7"/>
  </w:num>
  <w:num w:numId="14" w16cid:durableId="1524201610">
    <w:abstractNumId w:val="7"/>
  </w:num>
  <w:num w:numId="15" w16cid:durableId="1775978983">
    <w:abstractNumId w:val="7"/>
  </w:num>
  <w:num w:numId="16" w16cid:durableId="1801191730">
    <w:abstractNumId w:val="7"/>
  </w:num>
  <w:num w:numId="17" w16cid:durableId="981347512">
    <w:abstractNumId w:val="7"/>
  </w:num>
  <w:num w:numId="18" w16cid:durableId="1465781133">
    <w:abstractNumId w:val="7"/>
  </w:num>
  <w:num w:numId="19" w16cid:durableId="758066558">
    <w:abstractNumId w:val="14"/>
  </w:num>
  <w:num w:numId="20" w16cid:durableId="1034307608">
    <w:abstractNumId w:val="2"/>
  </w:num>
  <w:num w:numId="21" w16cid:durableId="610361109">
    <w:abstractNumId w:val="15"/>
  </w:num>
  <w:num w:numId="22" w16cid:durableId="909002851">
    <w:abstractNumId w:val="3"/>
  </w:num>
  <w:num w:numId="23" w16cid:durableId="557670031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8C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3B3A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5505"/>
    <w:rsid w:val="00166F6C"/>
    <w:rsid w:val="001747F6"/>
    <w:rsid w:val="001808BF"/>
    <w:rsid w:val="0018359E"/>
    <w:rsid w:val="0018619A"/>
    <w:rsid w:val="001870A7"/>
    <w:rsid w:val="00191259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304A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77558"/>
    <w:rsid w:val="0028458D"/>
    <w:rsid w:val="00284C97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135DD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B6BF0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1BA2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3CF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95C3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E561B"/>
    <w:rsid w:val="007F197C"/>
    <w:rsid w:val="007F1D57"/>
    <w:rsid w:val="007F7E59"/>
    <w:rsid w:val="00810F24"/>
    <w:rsid w:val="00823B7E"/>
    <w:rsid w:val="0083252A"/>
    <w:rsid w:val="008349B3"/>
    <w:rsid w:val="0083670C"/>
    <w:rsid w:val="008370C0"/>
    <w:rsid w:val="008377F4"/>
    <w:rsid w:val="00840065"/>
    <w:rsid w:val="00844283"/>
    <w:rsid w:val="0084582F"/>
    <w:rsid w:val="00847C0A"/>
    <w:rsid w:val="00850161"/>
    <w:rsid w:val="008512C4"/>
    <w:rsid w:val="008528A0"/>
    <w:rsid w:val="00860131"/>
    <w:rsid w:val="00860860"/>
    <w:rsid w:val="00864147"/>
    <w:rsid w:val="00864468"/>
    <w:rsid w:val="00866547"/>
    <w:rsid w:val="00866E71"/>
    <w:rsid w:val="00887CD5"/>
    <w:rsid w:val="008935BD"/>
    <w:rsid w:val="008936DF"/>
    <w:rsid w:val="008A1BF7"/>
    <w:rsid w:val="008A1C40"/>
    <w:rsid w:val="008B61E3"/>
    <w:rsid w:val="008C474C"/>
    <w:rsid w:val="008C56D8"/>
    <w:rsid w:val="008D6221"/>
    <w:rsid w:val="008E26F2"/>
    <w:rsid w:val="008E3579"/>
    <w:rsid w:val="00903AC3"/>
    <w:rsid w:val="00903CEA"/>
    <w:rsid w:val="009228DF"/>
    <w:rsid w:val="00925712"/>
    <w:rsid w:val="00926EA9"/>
    <w:rsid w:val="00927CEF"/>
    <w:rsid w:val="00930F98"/>
    <w:rsid w:val="009310EB"/>
    <w:rsid w:val="00933E50"/>
    <w:rsid w:val="00934193"/>
    <w:rsid w:val="00934F6E"/>
    <w:rsid w:val="009363E0"/>
    <w:rsid w:val="00937336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4190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0935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0198"/>
    <w:rsid w:val="00B218B9"/>
    <w:rsid w:val="00B250ED"/>
    <w:rsid w:val="00B25C26"/>
    <w:rsid w:val="00B261BA"/>
    <w:rsid w:val="00B3064A"/>
    <w:rsid w:val="00B3473A"/>
    <w:rsid w:val="00B34F58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1CB6"/>
    <w:rsid w:val="00D463F1"/>
    <w:rsid w:val="00D524BB"/>
    <w:rsid w:val="00D5302F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01449"/>
    <w:rsid w:val="00E11F2F"/>
    <w:rsid w:val="00E1256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EE798C"/>
    <w:rsid w:val="00EF2F1C"/>
    <w:rsid w:val="00F04867"/>
    <w:rsid w:val="00F04E3E"/>
    <w:rsid w:val="00F10771"/>
    <w:rsid w:val="00F205E5"/>
    <w:rsid w:val="00F2464F"/>
    <w:rsid w:val="00F36F96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B5E1B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E95FF"/>
  <w15:chartTrackingRefBased/>
  <w15:docId w15:val="{3D184B23-CA17-42ED-B4AC-37E9B4B5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35DD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3135DD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3135DD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3135DD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3135DD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3135DD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3135DD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135DD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135DD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135DD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3135DD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3135DD"/>
  </w:style>
  <w:style w:type="table" w:customStyle="1" w:styleId="tblzat-mtrix">
    <w:name w:val="táblázat - mátrix"/>
    <w:basedOn w:val="Normltblzat"/>
    <w:uiPriority w:val="2"/>
    <w:qFormat/>
    <w:rsid w:val="003135D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3135D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3135DD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3135DD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3135D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3135D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35DD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3135DD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35D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3135D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135DD"/>
  </w:style>
  <w:style w:type="paragraph" w:styleId="llb">
    <w:name w:val="footer"/>
    <w:basedOn w:val="Norml"/>
    <w:link w:val="llbChar"/>
    <w:uiPriority w:val="99"/>
    <w:semiHidden/>
    <w:unhideWhenUsed/>
    <w:rsid w:val="003135D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135DD"/>
  </w:style>
  <w:style w:type="paragraph" w:customStyle="1" w:styleId="Szmozs">
    <w:name w:val="Számozás"/>
    <w:basedOn w:val="Norml"/>
    <w:uiPriority w:val="4"/>
    <w:qFormat/>
    <w:rsid w:val="003135DD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3135DD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3135DD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3135DD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3135DD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3135DD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3135DD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3135DD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3135DD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3135DD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135DD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135DD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135DD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3135DD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3135DD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3135DD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3135DD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3135DD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3135DD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135DD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3135DD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3135DD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3135DD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135DD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135DD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3135DD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3135DD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3135DD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3135DD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3135DD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3135DD"/>
  </w:style>
  <w:style w:type="character" w:styleId="Finomhivatkozs">
    <w:name w:val="Subtle Reference"/>
    <w:basedOn w:val="Bekezdsalapbettpusa"/>
    <w:uiPriority w:val="31"/>
    <w:rsid w:val="003135DD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3135DD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3135DD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3135DD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3135DD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3135DD"/>
  </w:style>
  <w:style w:type="paragraph" w:styleId="Alcm">
    <w:name w:val="Subtitle"/>
    <w:basedOn w:val="Norml"/>
    <w:next w:val="Norml"/>
    <w:link w:val="AlcmChar"/>
    <w:uiPriority w:val="11"/>
    <w:rsid w:val="003135DD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3135DD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3135DD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3135DD"/>
  </w:style>
  <w:style w:type="paragraph" w:customStyle="1" w:styleId="Erskiemels1">
    <w:name w:val="Erős kiemelés1"/>
    <w:basedOn w:val="Norml"/>
    <w:link w:val="ErskiemelsChar"/>
    <w:uiPriority w:val="5"/>
    <w:qFormat/>
    <w:rsid w:val="003135DD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3135DD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3135DD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3135DD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3135DD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135DD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3135DD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3135DD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3135DD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3135DD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3135DD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3135DD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3135DD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3135DD"/>
  </w:style>
  <w:style w:type="character" w:styleId="Kiemels2">
    <w:name w:val="Strong"/>
    <w:basedOn w:val="Bekezdsalapbettpusa"/>
    <w:uiPriority w:val="22"/>
    <w:rsid w:val="003135DD"/>
    <w:rPr>
      <w:b/>
      <w:bCs/>
    </w:rPr>
  </w:style>
  <w:style w:type="character" w:styleId="Kiemels">
    <w:name w:val="Emphasis"/>
    <w:basedOn w:val="Bekezdsalapbettpusa"/>
    <w:uiPriority w:val="6"/>
    <w:qFormat/>
    <w:rsid w:val="003135DD"/>
    <w:rPr>
      <w:i/>
      <w:iCs/>
    </w:rPr>
  </w:style>
  <w:style w:type="paragraph" w:styleId="Nincstrkz">
    <w:name w:val="No Spacing"/>
    <w:basedOn w:val="Norml"/>
    <w:uiPriority w:val="1"/>
    <w:rsid w:val="003135DD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3135DD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3135DD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3135DD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135DD"/>
    <w:rPr>
      <w:b/>
      <w:i/>
    </w:rPr>
  </w:style>
  <w:style w:type="character" w:styleId="Erskiemels">
    <w:name w:val="Intense Emphasis"/>
    <w:basedOn w:val="Bekezdsalapbettpusa"/>
    <w:uiPriority w:val="21"/>
    <w:rsid w:val="003135DD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3135DD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3135DD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3135DD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3135D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3135DD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3135DD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3135D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3135DD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3135DD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3135DD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3135DD"/>
  </w:style>
  <w:style w:type="paragraph" w:customStyle="1" w:styleId="ENNormalBox">
    <w:name w:val="EN_Normal_Box"/>
    <w:basedOn w:val="Norml"/>
    <w:uiPriority w:val="1"/>
    <w:qFormat/>
    <w:rsid w:val="003135DD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3135DD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3135DD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3135DD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3135DD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3135DD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3135D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3135DD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3135DD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3135D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3135DD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3135DD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3135DD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3135DD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3135DD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3135DD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3135DD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3135DD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3135DD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3135DD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3135DD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3135DD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3135DD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3135DD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3135DD"/>
    <w:rPr>
      <w:b w:val="0"/>
      <w:caps w:val="0"/>
      <w:sz w:val="52"/>
    </w:rPr>
  </w:style>
  <w:style w:type="paragraph" w:customStyle="1" w:styleId="doc-ti">
    <w:name w:val="doc-ti"/>
    <w:basedOn w:val="Norml"/>
    <w:rsid w:val="00EE79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8A1B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A1BF7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rsid w:val="008A1BF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1B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1BF7"/>
    <w:rPr>
      <w:b/>
      <w:bCs/>
    </w:rPr>
  </w:style>
  <w:style w:type="paragraph" w:customStyle="1" w:styleId="Erskiemels2">
    <w:name w:val="Erős kiemelés2"/>
    <w:basedOn w:val="Norml"/>
    <w:uiPriority w:val="5"/>
    <w:qFormat/>
    <w:rsid w:val="007E561B"/>
    <w:rPr>
      <w:b/>
      <w:i/>
    </w:rPr>
  </w:style>
  <w:style w:type="paragraph" w:styleId="Vltozat">
    <w:name w:val="Revision"/>
    <w:hidden/>
    <w:uiPriority w:val="99"/>
    <w:semiHidden/>
    <w:rsid w:val="00887CD5"/>
  </w:style>
  <w:style w:type="character" w:styleId="Feloldatlanmegemlts">
    <w:name w:val="Unresolved Mention"/>
    <w:basedOn w:val="Bekezdsalapbettpusa"/>
    <w:uiPriority w:val="99"/>
    <w:semiHidden/>
    <w:unhideWhenUsed/>
    <w:rsid w:val="00850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b.hu/felugyelet/szabalyozas/jogszabalyok/egyeb-magyar-jogszabalyo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nb.hu/felugyelet/szabalyozas/jogszabalyok/mnb-rendeletek" TargetMode="Externa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528</Words>
  <Characters>4198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Szenthelyi Dávid Miklós</dc:creator>
  <cp:keywords/>
  <dc:description/>
  <cp:lastModifiedBy>Firák Erika</cp:lastModifiedBy>
  <cp:revision>8</cp:revision>
  <cp:lastPrinted>1900-12-31T23:00:00Z</cp:lastPrinted>
  <dcterms:created xsi:type="dcterms:W3CDTF">2025-02-21T13:24:00Z</dcterms:created>
  <dcterms:modified xsi:type="dcterms:W3CDTF">2025-02-27T10:53:00Z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2028-01-23T13:53:52Z</vt:filetime>
  </property>
  <property fmtid="{D5CDD505-2E9C-101B-9397-08002B2CF9AE}" pid="3" name="Érvényességet beállító">
    <vt:lpwstr>molnara</vt:lpwstr>
  </property>
  <property fmtid="{D5CDD505-2E9C-101B-9397-08002B2CF9AE}" pid="4" name="Érvényességi idő első beállítása">
    <vt:filetime>2023-01-23T13:53:52Z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molnara@mnb.hu</vt:lpwstr>
  </property>
  <property fmtid="{D5CDD505-2E9C-101B-9397-08002B2CF9AE}" pid="8" name="MSIP_Label_b0d11092-50c9-4e74-84b5-b1af078dc3d0_SetDate">
    <vt:lpwstr>2023-01-23T13:54:59.4980731Z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ce045d95-48fc-4989-943d-a322af754f59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