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0589" w14:textId="317E94F3" w:rsidR="009A652B" w:rsidRDefault="0019037E" w:rsidP="00DD0F3A">
      <w:pPr>
        <w:jc w:val="center"/>
      </w:pPr>
      <w:r w:rsidRPr="0019037E">
        <w:rPr>
          <w:b/>
          <w:bCs/>
          <w:i/>
          <w:iCs/>
          <w:sz w:val="24"/>
          <w:szCs w:val="24"/>
        </w:rPr>
        <w:t>Az Európai Parlament és a Tanács 648/2012/EU Rendelete (2012. július 4.) a tőzsdén kívüli származtatott ügyletekről, a központi szerződő felekről és a kereskedési adattárakról (</w:t>
      </w:r>
      <w:proofErr w:type="spellStart"/>
      <w:r w:rsidRPr="0019037E">
        <w:rPr>
          <w:b/>
          <w:bCs/>
          <w:i/>
          <w:iCs/>
          <w:sz w:val="24"/>
          <w:szCs w:val="24"/>
        </w:rPr>
        <w:t>EMIR</w:t>
      </w:r>
      <w:proofErr w:type="spellEnd"/>
      <w:r w:rsidRPr="0019037E">
        <w:rPr>
          <w:b/>
          <w:bCs/>
          <w:i/>
          <w:iCs/>
          <w:sz w:val="24"/>
          <w:szCs w:val="24"/>
        </w:rPr>
        <w:t>) 9. cikk (1) bekezdésében meghatározott jelentéstételi kötelezettség alóli mentesülés</w:t>
      </w:r>
    </w:p>
    <w:p w14:paraId="60BA8CC2" w14:textId="77777777" w:rsidR="00DD0F3A" w:rsidRDefault="00DD0F3A" w:rsidP="00515825"/>
    <w:p w14:paraId="4A88DD17" w14:textId="77777777" w:rsidR="0019037E" w:rsidRDefault="0019037E" w:rsidP="0019037E">
      <w:r>
        <w:t>Az Európai Parlament és a Tanács 648/2012/EU Rendelete (2012. július 4.) a tőzsdén kívüli származtatott ügyletekről, a központi szerződő felekről és a kereskedési adattárakról (</w:t>
      </w:r>
      <w:proofErr w:type="spellStart"/>
      <w:r>
        <w:rPr>
          <w:b/>
          <w:bCs/>
        </w:rPr>
        <w:t>EMIR</w:t>
      </w:r>
      <w:proofErr w:type="spellEnd"/>
      <w:r>
        <w:t>) 9. cikk (1) bekezdésében meghatározott jelentéstételi kötelezettség alóli mentesüléshez a mentesülés igénybevételére vonatkozó bejelentés és a mentesülési feltételek igazolása szükséges a Magyar Nemzeti Bank (</w:t>
      </w:r>
      <w:r>
        <w:rPr>
          <w:b/>
          <w:bCs/>
        </w:rPr>
        <w:t>MNB</w:t>
      </w:r>
      <w:r>
        <w:t>) felé</w:t>
      </w:r>
      <w:r>
        <w:t>.</w:t>
      </w:r>
    </w:p>
    <w:p w14:paraId="35639218" w14:textId="77777777" w:rsidR="005038E2" w:rsidRDefault="0019037E" w:rsidP="0019037E">
      <w:r>
        <w:t>A</w:t>
      </w:r>
      <w:r>
        <w:t xml:space="preserve"> bejelentést az ügyletekkel érintett csoporttagok</w:t>
      </w:r>
      <w:r w:rsidR="005038E2">
        <w:t xml:space="preserve">nak szintén </w:t>
      </w:r>
      <w:r>
        <w:t>szükséges megtenni a székhelyük szerinti tagállam illetékes hatósá</w:t>
      </w:r>
      <w:r>
        <w:t>gai felé</w:t>
      </w:r>
      <w:r>
        <w:t>. Amennyiben</w:t>
      </w:r>
      <w:r w:rsidR="005038E2">
        <w:t xml:space="preserve"> sem</w:t>
      </w:r>
      <w:r>
        <w:t xml:space="preserve"> az illetékes hatóság</w:t>
      </w:r>
      <w:r w:rsidR="005038E2">
        <w:t>(</w:t>
      </w:r>
      <w:proofErr w:type="gramStart"/>
      <w:r w:rsidR="005038E2">
        <w:t>ok</w:t>
      </w:r>
      <w:proofErr w:type="gramEnd"/>
      <w:r w:rsidR="005038E2">
        <w:t>)</w:t>
      </w:r>
      <w:r>
        <w:t xml:space="preserve">, </w:t>
      </w:r>
      <w:r w:rsidR="005038E2">
        <w:t>sem</w:t>
      </w:r>
      <w:r>
        <w:t xml:space="preserve"> MNB </w:t>
      </w:r>
      <w:r w:rsidR="005038E2">
        <w:t>nem</w:t>
      </w:r>
      <w:r>
        <w:t xml:space="preserve"> emel kifogást a bejelentés beérkezésétől számított 3 hónapon belül, alkalmazható az </w:t>
      </w:r>
      <w:proofErr w:type="spellStart"/>
      <w:r>
        <w:t>EMIR</w:t>
      </w:r>
      <w:proofErr w:type="spellEnd"/>
      <w:r>
        <w:t xml:space="preserve"> szerinti mentesülés. </w:t>
      </w:r>
    </w:p>
    <w:p w14:paraId="2BA47758" w14:textId="024BEA2E" w:rsidR="0019037E" w:rsidRDefault="0019037E" w:rsidP="0019037E">
      <w:r>
        <w:t>Az MNB a mentesség alkalmazhatóságával kapcsolatban tájékoztató levelet küld a bejelentő társaság számára.</w:t>
      </w:r>
    </w:p>
    <w:p w14:paraId="5F833A3E" w14:textId="74B196CB" w:rsidR="0019037E" w:rsidRPr="0019037E" w:rsidRDefault="0019037E" w:rsidP="0019037E">
      <w:r>
        <w:t xml:space="preserve">Ahhoz, hogy </w:t>
      </w:r>
      <w:r>
        <w:t xml:space="preserve">az </w:t>
      </w:r>
      <w:proofErr w:type="spellStart"/>
      <w:r>
        <w:t>EMIR</w:t>
      </w:r>
      <w:proofErr w:type="spellEnd"/>
      <w:r>
        <w:t xml:space="preserve"> hivatkozott cikkében</w:t>
      </w:r>
      <w:r>
        <w:t xml:space="preserve"> rögzített feltételek teljesülését </w:t>
      </w:r>
      <w:r>
        <w:t xml:space="preserve">az MNB </w:t>
      </w:r>
      <w:proofErr w:type="spellStart"/>
      <w:r w:rsidR="005038E2">
        <w:t>teljeskörűen</w:t>
      </w:r>
      <w:proofErr w:type="spellEnd"/>
      <w:r w:rsidR="005038E2">
        <w:t xml:space="preserve"> </w:t>
      </w:r>
      <w:r>
        <w:t xml:space="preserve">meg tudja vizsgálni, </w:t>
      </w:r>
      <w:r>
        <w:t xml:space="preserve">az alábbi dokumentumokat </w:t>
      </w:r>
      <w:r>
        <w:t xml:space="preserve">szükséges </w:t>
      </w:r>
      <w:r w:rsidRPr="0019037E">
        <w:rPr>
          <w:b/>
          <w:bCs/>
        </w:rPr>
        <w:t>papír alapon</w:t>
      </w:r>
      <w:r>
        <w:t xml:space="preserve"> benyújtani az MNB számára</w:t>
      </w:r>
      <w:r>
        <w:t>:</w:t>
      </w:r>
    </w:p>
    <w:p w14:paraId="485E3D1B" w14:textId="5BF2D784" w:rsidR="0019037E" w:rsidRPr="0019037E" w:rsidRDefault="0019037E" w:rsidP="0019037E">
      <w:pPr>
        <w:pStyle w:val="Listaszerbekezds"/>
        <w:numPr>
          <w:ilvl w:val="0"/>
          <w:numId w:val="20"/>
        </w:numPr>
        <w:spacing w:after="0" w:line="240" w:lineRule="auto"/>
        <w:contextualSpacing w:val="0"/>
        <w:jc w:val="left"/>
        <w:rPr>
          <w:rFonts w:eastAsia="Times New Roman"/>
        </w:rPr>
      </w:pPr>
      <w:r>
        <w:rPr>
          <w:rFonts w:eastAsia="Times New Roman"/>
        </w:rPr>
        <w:t>A bejelentés</w:t>
      </w:r>
      <w:r w:rsidR="005038E2">
        <w:rPr>
          <w:rFonts w:eastAsia="Times New Roman"/>
        </w:rPr>
        <w:t>t</w:t>
      </w:r>
      <w:r>
        <w:rPr>
          <w:rFonts w:eastAsia="Times New Roman"/>
        </w:rPr>
        <w:t xml:space="preserve"> (</w:t>
      </w:r>
      <w:r>
        <w:rPr>
          <w:rFonts w:eastAsia="Times New Roman"/>
        </w:rPr>
        <w:object w:dxaOrig="1520" w:dyaOrig="987" w14:anchorId="3E6C2F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6.2pt;height:49.2pt" o:ole="">
            <v:imagedata r:id="rId8" o:title=""/>
          </v:shape>
          <o:OLEObject Type="Embed" ProgID="Excel.Sheet.8" ShapeID="_x0000_i1031" DrawAspect="Icon" ObjectID="_1792934582" r:id="rId9"/>
        </w:object>
      </w:r>
      <w:r>
        <w:rPr>
          <w:rFonts w:eastAsia="Times New Roman"/>
        </w:rPr>
        <w:t>)</w:t>
      </w:r>
      <w:r>
        <w:rPr>
          <w:rFonts w:eastAsia="Times New Roman"/>
        </w:rPr>
        <w:t xml:space="preserve"> kitöltve és a bejelentő társaság által cégszerűen aláírva;</w:t>
      </w:r>
    </w:p>
    <w:p w14:paraId="625B13D1" w14:textId="12636E84" w:rsidR="0019037E" w:rsidRPr="0019037E" w:rsidRDefault="0019037E" w:rsidP="0019037E">
      <w:pPr>
        <w:pStyle w:val="Listaszerbekezds"/>
        <w:numPr>
          <w:ilvl w:val="0"/>
          <w:numId w:val="20"/>
        </w:numPr>
        <w:spacing w:after="0" w:line="240" w:lineRule="auto"/>
        <w:contextualSpacing w:val="0"/>
        <w:jc w:val="left"/>
        <w:rPr>
          <w:rFonts w:eastAsia="Times New Roman"/>
        </w:rPr>
      </w:pPr>
      <w:r>
        <w:rPr>
          <w:rFonts w:eastAsia="Times New Roman"/>
        </w:rPr>
        <w:t>A központosított kockázatértékelési, kockázatmérési és kockázatellenőrzési eljárások szabályzat</w:t>
      </w:r>
      <w:r w:rsidR="005038E2">
        <w:rPr>
          <w:rFonts w:eastAsia="Times New Roman"/>
        </w:rPr>
        <w:t>át</w:t>
      </w:r>
      <w:r>
        <w:rPr>
          <w:rFonts w:eastAsia="Times New Roman"/>
        </w:rPr>
        <w:t>, szabályzatai</w:t>
      </w:r>
      <w:r w:rsidR="005038E2">
        <w:rPr>
          <w:rFonts w:eastAsia="Times New Roman"/>
        </w:rPr>
        <w:t>t</w:t>
      </w:r>
      <w:r>
        <w:rPr>
          <w:rFonts w:eastAsia="Times New Roman"/>
        </w:rPr>
        <w:t xml:space="preserve"> magyar vagy angol nyelven;</w:t>
      </w:r>
    </w:p>
    <w:p w14:paraId="5B141F0D" w14:textId="1993F06A" w:rsidR="0019037E" w:rsidRPr="0019037E" w:rsidRDefault="0019037E" w:rsidP="0019037E">
      <w:pPr>
        <w:pStyle w:val="Listaszerbekezds"/>
        <w:numPr>
          <w:ilvl w:val="0"/>
          <w:numId w:val="20"/>
        </w:numPr>
        <w:spacing w:after="0" w:line="240" w:lineRule="auto"/>
        <w:contextualSpacing w:val="0"/>
        <w:jc w:val="left"/>
        <w:rPr>
          <w:rFonts w:eastAsia="Times New Roman"/>
        </w:rPr>
      </w:pPr>
      <w:r>
        <w:rPr>
          <w:rFonts w:eastAsia="Times New Roman"/>
        </w:rPr>
        <w:t>A csoport legutolsó lezárt éves konszolidált beszámolój</w:t>
      </w:r>
      <w:r w:rsidR="005038E2">
        <w:rPr>
          <w:rFonts w:eastAsia="Times New Roman"/>
        </w:rPr>
        <w:t>át</w:t>
      </w:r>
      <w:r>
        <w:rPr>
          <w:rFonts w:eastAsia="Times New Roman"/>
        </w:rPr>
        <w:t xml:space="preserve"> magyar vagy angol nyelven</w:t>
      </w:r>
      <w:r>
        <w:rPr>
          <w:rFonts w:eastAsia="Times New Roman"/>
        </w:rPr>
        <w:t>.</w:t>
      </w:r>
    </w:p>
    <w:p w14:paraId="2DF825AB" w14:textId="77777777" w:rsidR="0019037E" w:rsidRDefault="0019037E" w:rsidP="0019037E">
      <w:r>
        <w:t> </w:t>
      </w:r>
    </w:p>
    <w:p w14:paraId="23C9D2D6" w14:textId="1724D6A4" w:rsidR="0019037E" w:rsidRDefault="0019037E" w:rsidP="0019037E">
      <w:r>
        <w:t xml:space="preserve">A csoport utolsó lezárt éves konszolidált beszámolójának benyújtása </w:t>
      </w:r>
      <w:r w:rsidRPr="0019037E">
        <w:rPr>
          <w:i/>
          <w:iCs/>
        </w:rPr>
        <w:t>elektronikus</w:t>
      </w:r>
      <w:r>
        <w:t xml:space="preserve"> formában, e-mailen keresztül is lehetséges</w:t>
      </w:r>
      <w:r>
        <w:t xml:space="preserve"> az </w:t>
      </w:r>
      <w:hyperlink r:id="rId10" w:history="1">
        <w:r w:rsidRPr="00C20F7B">
          <w:rPr>
            <w:rStyle w:val="Hiperhivatkozs"/>
            <w:vertAlign w:val="baseline"/>
          </w:rPr>
          <w:t>emir@mnb.hu</w:t>
        </w:r>
      </w:hyperlink>
      <w:r>
        <w:t xml:space="preserve"> e-mail címre. Ebben az esetben</w:t>
      </w:r>
      <w:r>
        <w:t xml:space="preserve"> nem szükséges ennek a dokumentumnak a postán való megküldése. </w:t>
      </w:r>
    </w:p>
    <w:p w14:paraId="68CE753A" w14:textId="76D53786" w:rsidR="0019037E" w:rsidRPr="0019037E" w:rsidRDefault="0019037E" w:rsidP="0019037E">
      <w:pPr>
        <w:rPr>
          <w:b/>
          <w:bCs/>
        </w:rPr>
      </w:pPr>
      <w:r>
        <w:t xml:space="preserve">Az MNB felhívja a </w:t>
      </w:r>
      <w:r w:rsidR="005038E2">
        <w:t>bejelentő társaság</w:t>
      </w:r>
      <w:r>
        <w:t xml:space="preserve"> figyelmét</w:t>
      </w:r>
      <w:r>
        <w:t xml:space="preserve">, hogy az </w:t>
      </w:r>
      <w:proofErr w:type="spellStart"/>
      <w:r>
        <w:t>EMIR</w:t>
      </w:r>
      <w:proofErr w:type="spellEnd"/>
      <w:r>
        <w:t xml:space="preserve"> 9. cikk (1) bekezdésében meghatározott jelentéstételi kötelezettség alóli mentesülés iránti bejelentést akkor tudj</w:t>
      </w:r>
      <w:r>
        <w:t>a</w:t>
      </w:r>
      <w:r>
        <w:t xml:space="preserve"> </w:t>
      </w:r>
      <w:r w:rsidRPr="0019037E">
        <w:rPr>
          <w:b/>
          <w:bCs/>
        </w:rPr>
        <w:t>t</w:t>
      </w:r>
      <w:proofErr w:type="spellStart"/>
      <w:r w:rsidRPr="0019037E">
        <w:rPr>
          <w:b/>
          <w:bCs/>
        </w:rPr>
        <w:t>eljeskörűen</w:t>
      </w:r>
      <w:proofErr w:type="spellEnd"/>
      <w:r w:rsidRPr="0019037E">
        <w:rPr>
          <w:b/>
          <w:bCs/>
        </w:rPr>
        <w:t xml:space="preserve"> beérkezettnek tekinti, amennyiben minden szükséges dokumentumot</w:t>
      </w:r>
      <w:r>
        <w:rPr>
          <w:b/>
          <w:bCs/>
        </w:rPr>
        <w:t xml:space="preserve"> postai úton, papír alapon</w:t>
      </w:r>
      <w:r w:rsidRPr="0019037E">
        <w:rPr>
          <w:b/>
          <w:bCs/>
        </w:rPr>
        <w:t xml:space="preserve"> megküld</w:t>
      </w:r>
      <w:r w:rsidR="005038E2">
        <w:rPr>
          <w:b/>
          <w:bCs/>
        </w:rPr>
        <w:t>ésre kerül</w:t>
      </w:r>
      <w:r w:rsidRPr="0019037E">
        <w:rPr>
          <w:b/>
          <w:bCs/>
        </w:rPr>
        <w:t xml:space="preserve"> </w:t>
      </w:r>
      <w:r>
        <w:rPr>
          <w:b/>
          <w:bCs/>
        </w:rPr>
        <w:t>az MNB részére</w:t>
      </w:r>
      <w:r w:rsidRPr="0019037E">
        <w:rPr>
          <w:b/>
          <w:bCs/>
        </w:rPr>
        <w:t>.</w:t>
      </w:r>
    </w:p>
    <w:p w14:paraId="292736B8" w14:textId="5B919058" w:rsidR="0019037E" w:rsidRPr="0019037E" w:rsidRDefault="0019037E" w:rsidP="0019037E">
      <w:r>
        <w:t>Kérjük, hogy a fenti dokumentumokat az alábbi címre</w:t>
      </w:r>
      <w:r>
        <w:t xml:space="preserve"> küldjék</w:t>
      </w:r>
      <w:r>
        <w:t>:</w:t>
      </w:r>
    </w:p>
    <w:p w14:paraId="606AFADF" w14:textId="77777777" w:rsidR="0019037E" w:rsidRPr="0019037E" w:rsidRDefault="0019037E" w:rsidP="0019037E">
      <w:r>
        <w:t> </w:t>
      </w:r>
    </w:p>
    <w:p w14:paraId="0327288A" w14:textId="77777777" w:rsidR="0019037E" w:rsidRPr="0019037E" w:rsidRDefault="0019037E" w:rsidP="0019037E">
      <w:pPr>
        <w:ind w:left="708"/>
      </w:pPr>
      <w:r>
        <w:rPr>
          <w:b/>
          <w:bCs/>
          <w:i/>
          <w:iCs/>
        </w:rPr>
        <w:t>Magyar Nemzeti Bank</w:t>
      </w:r>
    </w:p>
    <w:p w14:paraId="297D7C3F" w14:textId="77777777" w:rsidR="0019037E" w:rsidRDefault="0019037E" w:rsidP="0019037E">
      <w:pPr>
        <w:ind w:left="708"/>
        <w:rPr>
          <w:lang w:val="en-US"/>
        </w:rPr>
      </w:pPr>
      <w:r>
        <w:rPr>
          <w:lang w:val="en-US"/>
        </w:rPr>
        <w:t xml:space="preserve">Krisztina </w:t>
      </w:r>
      <w:proofErr w:type="spellStart"/>
      <w:r>
        <w:rPr>
          <w:lang w:val="en-US"/>
        </w:rPr>
        <w:t>körút</w:t>
      </w:r>
      <w:proofErr w:type="spellEnd"/>
      <w:r>
        <w:rPr>
          <w:lang w:val="en-US"/>
        </w:rPr>
        <w:t xml:space="preserve"> 6.</w:t>
      </w:r>
    </w:p>
    <w:p w14:paraId="4E14360E" w14:textId="77777777" w:rsidR="0019037E" w:rsidRDefault="0019037E" w:rsidP="0019037E">
      <w:pPr>
        <w:ind w:left="708"/>
        <w:rPr>
          <w:lang w:val="en-US"/>
        </w:rPr>
      </w:pPr>
      <w:r>
        <w:rPr>
          <w:lang w:val="en-US"/>
        </w:rPr>
        <w:t>Budapest</w:t>
      </w:r>
    </w:p>
    <w:p w14:paraId="786AA7A0" w14:textId="77777777" w:rsidR="0019037E" w:rsidRDefault="0019037E" w:rsidP="0019037E">
      <w:pPr>
        <w:ind w:left="708"/>
        <w:rPr>
          <w:lang w:val="en-US"/>
        </w:rPr>
      </w:pPr>
      <w:r>
        <w:rPr>
          <w:lang w:val="en-US"/>
        </w:rPr>
        <w:t>H-1122</w:t>
      </w:r>
    </w:p>
    <w:p w14:paraId="2EAD9E96" w14:textId="77777777" w:rsidR="0019037E" w:rsidRDefault="0019037E" w:rsidP="0019037E">
      <w:pPr>
        <w:ind w:left="708"/>
        <w:rPr>
          <w:lang w:val="en-US"/>
        </w:rPr>
      </w:pPr>
      <w:r>
        <w:rPr>
          <w:lang w:val="en-US"/>
        </w:rPr>
        <w:t>HUNGARY</w:t>
      </w:r>
    </w:p>
    <w:p w14:paraId="3F7EA645" w14:textId="77777777" w:rsidR="00DD0F3A" w:rsidRPr="0019037E" w:rsidRDefault="00DD0F3A" w:rsidP="00DD0F3A"/>
    <w:p w14:paraId="59D9B7AE" w14:textId="79B50787" w:rsidR="00B944EB" w:rsidRPr="00515825" w:rsidRDefault="00B944EB" w:rsidP="00DD0F3A"/>
    <w:sectPr w:rsidR="00B944EB" w:rsidRPr="00515825" w:rsidSect="00CD6E8D">
      <w:headerReference w:type="default" r:id="rId11"/>
      <w:footerReference w:type="default" r:id="rId12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D6121" w14:textId="77777777" w:rsidR="00515825" w:rsidRDefault="00515825">
      <w:r>
        <w:separator/>
      </w:r>
    </w:p>
  </w:endnote>
  <w:endnote w:type="continuationSeparator" w:id="0">
    <w:p w14:paraId="556A7340" w14:textId="77777777" w:rsidR="00515825" w:rsidRDefault="0051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2305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802E" w14:textId="77777777" w:rsidR="00515825" w:rsidRDefault="00515825">
      <w:r>
        <w:separator/>
      </w:r>
    </w:p>
  </w:footnote>
  <w:footnote w:type="continuationSeparator" w:id="0">
    <w:p w14:paraId="63E408DF" w14:textId="77777777" w:rsidR="00515825" w:rsidRDefault="0051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3780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C57B8"/>
    <w:multiLevelType w:val="hybridMultilevel"/>
    <w:tmpl w:val="05D2908C"/>
    <w:lvl w:ilvl="0" w:tplc="34340744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24C99"/>
    <w:multiLevelType w:val="hybridMultilevel"/>
    <w:tmpl w:val="24786B7E"/>
    <w:lvl w:ilvl="0" w:tplc="4022C1AA">
      <w:start w:val="10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822942">
    <w:abstractNumId w:val="4"/>
  </w:num>
  <w:num w:numId="2" w16cid:durableId="510412172">
    <w:abstractNumId w:val="2"/>
  </w:num>
  <w:num w:numId="3" w16cid:durableId="1065883584">
    <w:abstractNumId w:val="5"/>
  </w:num>
  <w:num w:numId="4" w16cid:durableId="539518364">
    <w:abstractNumId w:val="0"/>
  </w:num>
  <w:num w:numId="5" w16cid:durableId="855921915">
    <w:abstractNumId w:val="1"/>
  </w:num>
  <w:num w:numId="6" w16cid:durableId="349845084">
    <w:abstractNumId w:val="7"/>
  </w:num>
  <w:num w:numId="7" w16cid:durableId="350034239">
    <w:abstractNumId w:val="3"/>
  </w:num>
  <w:num w:numId="8" w16cid:durableId="131606688">
    <w:abstractNumId w:val="11"/>
  </w:num>
  <w:num w:numId="9" w16cid:durableId="101457898">
    <w:abstractNumId w:val="7"/>
    <w:lvlOverride w:ilvl="0">
      <w:startOverride w:val="1"/>
    </w:lvlOverride>
  </w:num>
  <w:num w:numId="10" w16cid:durableId="349256483">
    <w:abstractNumId w:val="12"/>
  </w:num>
  <w:num w:numId="11" w16cid:durableId="87848325">
    <w:abstractNumId w:val="8"/>
  </w:num>
  <w:num w:numId="12" w16cid:durableId="910116279">
    <w:abstractNumId w:val="6"/>
  </w:num>
  <w:num w:numId="13" w16cid:durableId="1570460174">
    <w:abstractNumId w:val="5"/>
  </w:num>
  <w:num w:numId="14" w16cid:durableId="1343776722">
    <w:abstractNumId w:val="5"/>
  </w:num>
  <w:num w:numId="15" w16cid:durableId="1735856533">
    <w:abstractNumId w:val="5"/>
  </w:num>
  <w:num w:numId="16" w16cid:durableId="1733651649">
    <w:abstractNumId w:val="5"/>
  </w:num>
  <w:num w:numId="17" w16cid:durableId="843594952">
    <w:abstractNumId w:val="5"/>
  </w:num>
  <w:num w:numId="18" w16cid:durableId="2005745122">
    <w:abstractNumId w:val="5"/>
  </w:num>
  <w:num w:numId="19" w16cid:durableId="8523810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41704995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25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037E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8E2"/>
    <w:rsid w:val="00503A99"/>
    <w:rsid w:val="0050657B"/>
    <w:rsid w:val="00513B1F"/>
    <w:rsid w:val="0051486A"/>
    <w:rsid w:val="005149CD"/>
    <w:rsid w:val="00515825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A652B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0F3A"/>
    <w:rsid w:val="00DD62AD"/>
    <w:rsid w:val="00DD7153"/>
    <w:rsid w:val="00DF3B78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B2C782"/>
  <w15:chartTrackingRefBased/>
  <w15:docId w15:val="{905A5F2A-19BF-46B3-B155-2BAABDB1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0F3A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DD0F3A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DD0F3A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DD0F3A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DD0F3A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DD0F3A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DD0F3A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D0F3A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D0F3A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D0F3A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DD0F3A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DD0F3A"/>
  </w:style>
  <w:style w:type="table" w:customStyle="1" w:styleId="tblzat-mtrix">
    <w:name w:val="táblázat - mátrix"/>
    <w:basedOn w:val="Normltblzat"/>
    <w:uiPriority w:val="2"/>
    <w:qFormat/>
    <w:rsid w:val="00DD0F3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DD0F3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34"/>
    <w:qFormat/>
    <w:rsid w:val="00DD0F3A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DD0F3A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DD0F3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DD0F3A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0F3A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DD0F3A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0F3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DD0F3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DD0F3A"/>
  </w:style>
  <w:style w:type="paragraph" w:styleId="llb">
    <w:name w:val="footer"/>
    <w:basedOn w:val="Norml"/>
    <w:link w:val="llbChar"/>
    <w:uiPriority w:val="99"/>
    <w:semiHidden/>
    <w:unhideWhenUsed/>
    <w:rsid w:val="00DD0F3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D0F3A"/>
  </w:style>
  <w:style w:type="paragraph" w:customStyle="1" w:styleId="Szmozs">
    <w:name w:val="Számozás"/>
    <w:basedOn w:val="Norml"/>
    <w:uiPriority w:val="4"/>
    <w:qFormat/>
    <w:rsid w:val="00DD0F3A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DD0F3A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DD0F3A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DD0F3A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DD0F3A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DD0F3A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DD0F3A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DD0F3A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DD0F3A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DD0F3A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D0F3A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D0F3A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D0F3A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DD0F3A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DD0F3A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DD0F3A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DD0F3A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DD0F3A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DD0F3A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DD0F3A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DD0F3A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DD0F3A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DD0F3A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D0F3A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D0F3A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DD0F3A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DD0F3A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DD0F3A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DD0F3A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DD0F3A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DD0F3A"/>
  </w:style>
  <w:style w:type="character" w:styleId="Finomhivatkozs">
    <w:name w:val="Subtle Reference"/>
    <w:basedOn w:val="Bekezdsalapbettpusa"/>
    <w:uiPriority w:val="31"/>
    <w:rsid w:val="00DD0F3A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DD0F3A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DD0F3A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DD0F3A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DD0F3A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DD0F3A"/>
  </w:style>
  <w:style w:type="paragraph" w:styleId="Alcm">
    <w:name w:val="Subtitle"/>
    <w:basedOn w:val="Norml"/>
    <w:next w:val="Norml"/>
    <w:link w:val="AlcmChar"/>
    <w:uiPriority w:val="11"/>
    <w:rsid w:val="00DD0F3A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DD0F3A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DD0F3A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DD0F3A"/>
  </w:style>
  <w:style w:type="paragraph" w:customStyle="1" w:styleId="Erskiemels1">
    <w:name w:val="Erős kiemelés1"/>
    <w:basedOn w:val="Norml"/>
    <w:link w:val="ErskiemelsChar"/>
    <w:uiPriority w:val="5"/>
    <w:qFormat/>
    <w:rsid w:val="00DD0F3A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DD0F3A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DD0F3A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DD0F3A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DD0F3A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D0F3A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DD0F3A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DD0F3A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DD0F3A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DD0F3A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DD0F3A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DD0F3A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DD0F3A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DD0F3A"/>
  </w:style>
  <w:style w:type="character" w:styleId="Kiemels2">
    <w:name w:val="Strong"/>
    <w:basedOn w:val="Bekezdsalapbettpusa"/>
    <w:uiPriority w:val="22"/>
    <w:rsid w:val="00DD0F3A"/>
    <w:rPr>
      <w:b/>
      <w:bCs/>
    </w:rPr>
  </w:style>
  <w:style w:type="character" w:styleId="Kiemels">
    <w:name w:val="Emphasis"/>
    <w:basedOn w:val="Bekezdsalapbettpusa"/>
    <w:uiPriority w:val="6"/>
    <w:qFormat/>
    <w:rsid w:val="00DD0F3A"/>
    <w:rPr>
      <w:i/>
      <w:iCs/>
    </w:rPr>
  </w:style>
  <w:style w:type="paragraph" w:styleId="Nincstrkz">
    <w:name w:val="No Spacing"/>
    <w:basedOn w:val="Norml"/>
    <w:uiPriority w:val="1"/>
    <w:rsid w:val="00DD0F3A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DD0F3A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DD0F3A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DD0F3A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D0F3A"/>
    <w:rPr>
      <w:b/>
      <w:i/>
    </w:rPr>
  </w:style>
  <w:style w:type="character" w:styleId="Erskiemels">
    <w:name w:val="Intense Emphasis"/>
    <w:basedOn w:val="Bekezdsalapbettpusa"/>
    <w:uiPriority w:val="21"/>
    <w:rsid w:val="00DD0F3A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DD0F3A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DD0F3A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DD0F3A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DD0F3A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DD0F3A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DD0F3A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DD0F3A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DD0F3A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DD0F3A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DD0F3A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DD0F3A"/>
  </w:style>
  <w:style w:type="paragraph" w:customStyle="1" w:styleId="ENNormalBox">
    <w:name w:val="EN_Normal_Box"/>
    <w:basedOn w:val="Norml"/>
    <w:uiPriority w:val="1"/>
    <w:qFormat/>
    <w:rsid w:val="00DD0F3A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DD0F3A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DD0F3A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DD0F3A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DD0F3A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DD0F3A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DD0F3A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DD0F3A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DD0F3A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DD0F3A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DD0F3A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DD0F3A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DD0F3A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DD0F3A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DD0F3A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DD0F3A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DD0F3A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DD0F3A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DD0F3A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DD0F3A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DD0F3A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DD0F3A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DD0F3A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DD0F3A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DD0F3A"/>
    <w:rPr>
      <w:b w:val="0"/>
      <w:caps w:val="0"/>
      <w:sz w:val="52"/>
    </w:rPr>
  </w:style>
  <w:style w:type="character" w:styleId="Feloldatlanmegemlts">
    <w:name w:val="Unresolved Mention"/>
    <w:basedOn w:val="Bekezdsalapbettpusa"/>
    <w:uiPriority w:val="99"/>
    <w:semiHidden/>
    <w:unhideWhenUsed/>
    <w:rsid w:val="00190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mir@mnb.h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Georgina Dr.</dc:creator>
  <cp:keywords/>
  <dc:description/>
  <cp:lastModifiedBy>Tamás Georgina Dr.</cp:lastModifiedBy>
  <cp:revision>4</cp:revision>
  <cp:lastPrinted>1900-12-31T23:00:00Z</cp:lastPrinted>
  <dcterms:created xsi:type="dcterms:W3CDTF">2024-11-12T15:34:00Z</dcterms:created>
  <dcterms:modified xsi:type="dcterms:W3CDTF">2024-11-12T15:36:00Z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2027-09-20T13:36:34Z</vt:filetime>
  </property>
  <property fmtid="{D5CDD505-2E9C-101B-9397-08002B2CF9AE}" pid="3" name="Érvényességet beállító">
    <vt:lpwstr>tamasg</vt:lpwstr>
  </property>
  <property fmtid="{D5CDD505-2E9C-101B-9397-08002B2CF9AE}" pid="4" name="Érvényességi idő első beállítása">
    <vt:filetime>2022-09-20T13:36:34Z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tamasg@mnb.hu</vt:lpwstr>
  </property>
  <property fmtid="{D5CDD505-2E9C-101B-9397-08002B2CF9AE}" pid="8" name="MSIP_Label_b0d11092-50c9-4e74-84b5-b1af078dc3d0_SetDate">
    <vt:lpwstr>2022-09-20T13:46:32.0287175Z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2971e4c4-8a23-4cd2-ae1a-5d879320417d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